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4A11" w:rsidP="00294A11" w:rsidRDefault="00294A11" w14:paraId="562AE2C3" w14:textId="1E40F658">
      <w:pPr>
        <w:jc w:val="center"/>
        <w:rPr>
          <w:b/>
        </w:rPr>
      </w:pPr>
      <w:r w:rsidRPr="00E00885">
        <w:rPr>
          <w:b/>
        </w:rPr>
        <w:t>CONVERTIBLE LOAN TERM SHEET DATED [</w:t>
      </w:r>
      <w:r w:rsidRPr="003765BB" w:rsidR="003765BB">
        <w:rPr>
          <w:lang w:val="en-US"/>
        </w:rPr>
        <w:sym w:font="Wingdings" w:char="F06C"/>
      </w:r>
      <w:r w:rsidRPr="00E00885">
        <w:rPr>
          <w:b/>
        </w:rPr>
        <w:t>]</w:t>
      </w:r>
    </w:p>
    <w:p w:rsidR="00294A11" w:rsidP="00294A11" w:rsidRDefault="00294A11" w14:paraId="5BF23D3C" w14:textId="77777777">
      <w:pPr>
        <w:jc w:val="center"/>
        <w:rPr>
          <w:b/>
        </w:rPr>
      </w:pPr>
    </w:p>
    <w:tbl>
      <w:tblPr>
        <w:tblStyle w:val="TableGrid"/>
        <w:tblW w:w="5000" w:type="pct"/>
        <w:tblCellMar>
          <w:left w:w="68" w:type="dxa"/>
          <w:right w:w="68" w:type="dxa"/>
        </w:tblCellMar>
        <w:tblLook w:val="04A0" w:firstRow="1" w:lastRow="0" w:firstColumn="1" w:lastColumn="0" w:noHBand="0" w:noVBand="1"/>
      </w:tblPr>
      <w:tblGrid>
        <w:gridCol w:w="2410"/>
        <w:gridCol w:w="6616"/>
      </w:tblGrid>
      <w:tr w:rsidR="00294A11" w:rsidTr="00041E41" w14:paraId="2172D4F9" w14:textId="77777777">
        <w:tc>
          <w:tcPr>
            <w:tcW w:w="1335" w:type="pct"/>
          </w:tcPr>
          <w:p w:rsidRPr="006B6F36" w:rsidR="00294A11" w:rsidP="00041E41" w:rsidRDefault="00294A11" w14:paraId="120AED91" w14:textId="1E44C509">
            <w:pPr>
              <w:pStyle w:val="BText"/>
              <w:spacing w:before="120"/>
              <w:jc w:val="left"/>
              <w:rPr>
                <w:b/>
                <w:bCs/>
              </w:rPr>
            </w:pPr>
            <w:r w:rsidRPr="006B6F36">
              <w:rPr>
                <w:b/>
                <w:bCs/>
              </w:rPr>
              <w:t>Company</w:t>
            </w:r>
          </w:p>
        </w:tc>
        <w:tc>
          <w:tcPr>
            <w:tcW w:w="3665" w:type="pct"/>
          </w:tcPr>
          <w:p w:rsidR="00294A11" w:rsidP="00041E41" w:rsidRDefault="00294A11" w14:paraId="48488714" w14:textId="1003D3FB">
            <w:pPr>
              <w:pStyle w:val="BText"/>
              <w:spacing w:before="120"/>
              <w:jc w:val="left"/>
            </w:pPr>
            <w:r w:rsidRPr="00E00885">
              <w:t>[name], ID No.: [</w:t>
            </w:r>
            <w:r w:rsidRPr="003765BB" w:rsidR="003765BB">
              <w:rPr>
                <w:lang w:val="en-US"/>
              </w:rPr>
              <w:sym w:font="Wingdings" w:char="F06C"/>
            </w:r>
            <w:r w:rsidRPr="00E00885">
              <w:t>], with its registered office at [</w:t>
            </w:r>
            <w:r w:rsidRPr="003765BB" w:rsidR="003765BB">
              <w:rPr>
                <w:lang w:val="en-US"/>
              </w:rPr>
              <w:sym w:font="Wingdings" w:char="F06C"/>
            </w:r>
            <w:r w:rsidRPr="00E00885">
              <w:t>].</w:t>
            </w:r>
          </w:p>
        </w:tc>
      </w:tr>
      <w:tr w:rsidR="00294A11" w:rsidTr="00041E41" w14:paraId="6BAA7F2B" w14:textId="77777777">
        <w:tc>
          <w:tcPr>
            <w:tcW w:w="1335" w:type="pct"/>
          </w:tcPr>
          <w:p w:rsidRPr="006B6F36" w:rsidR="00294A11" w:rsidP="00041E41" w:rsidRDefault="00294A11" w14:paraId="4D610B9B" w14:textId="0B24E6EC">
            <w:pPr>
              <w:pStyle w:val="BText"/>
              <w:spacing w:before="120"/>
              <w:jc w:val="left"/>
              <w:rPr>
                <w:b/>
                <w:bCs/>
              </w:rPr>
            </w:pPr>
            <w:r w:rsidRPr="006B6F36">
              <w:rPr>
                <w:b/>
                <w:bCs/>
              </w:rPr>
              <w:t>Founder[s]</w:t>
            </w:r>
          </w:p>
        </w:tc>
        <w:tc>
          <w:tcPr>
            <w:tcW w:w="3665" w:type="pct"/>
          </w:tcPr>
          <w:p w:rsidR="00294A11" w:rsidP="00041E41" w:rsidRDefault="00294A11" w14:paraId="1F070729" w14:textId="21BBA2A9">
            <w:pPr>
              <w:pStyle w:val="BText"/>
              <w:spacing w:before="120"/>
              <w:jc w:val="left"/>
            </w:pPr>
            <w:r w:rsidRPr="00E00885">
              <w:t>Following founder[s] and current shareholder[s] of the Company: [insert].</w:t>
            </w:r>
          </w:p>
        </w:tc>
      </w:tr>
      <w:tr w:rsidR="00294A11" w:rsidTr="00041E41" w14:paraId="310B7F8E" w14:textId="77777777">
        <w:tc>
          <w:tcPr>
            <w:tcW w:w="1335" w:type="pct"/>
          </w:tcPr>
          <w:p w:rsidRPr="006B6F36" w:rsidR="00294A11" w:rsidP="00041E41" w:rsidRDefault="00294A11" w14:paraId="06DD7535" w14:textId="365BE657">
            <w:pPr>
              <w:pStyle w:val="BText"/>
              <w:spacing w:before="120"/>
              <w:jc w:val="left"/>
              <w:rPr>
                <w:b/>
                <w:bCs/>
              </w:rPr>
            </w:pPr>
            <w:r w:rsidRPr="006B6F36">
              <w:rPr>
                <w:b/>
                <w:bCs/>
              </w:rPr>
              <w:t>Investor</w:t>
            </w:r>
          </w:p>
        </w:tc>
        <w:tc>
          <w:tcPr>
            <w:tcW w:w="3665" w:type="pct"/>
          </w:tcPr>
          <w:p w:rsidR="00294A11" w:rsidP="00041E41" w:rsidRDefault="00294A11" w14:paraId="78E62AF9" w14:textId="3FA87CBD">
            <w:pPr>
              <w:pStyle w:val="BText"/>
              <w:spacing w:before="120"/>
              <w:jc w:val="left"/>
            </w:pPr>
            <w:r w:rsidRPr="00E00885">
              <w:t>[name], ID No.: [</w:t>
            </w:r>
            <w:r w:rsidRPr="003765BB" w:rsidR="003765BB">
              <w:rPr>
                <w:lang w:val="en-US"/>
              </w:rPr>
              <w:sym w:font="Wingdings" w:char="F06C"/>
            </w:r>
            <w:r w:rsidRPr="00E00885">
              <w:t>], with its registered office at [</w:t>
            </w:r>
            <w:r w:rsidRPr="003765BB" w:rsidR="003765BB">
              <w:rPr>
                <w:lang w:val="en-US"/>
              </w:rPr>
              <w:sym w:font="Wingdings" w:char="F06C"/>
            </w:r>
            <w:r w:rsidRPr="00E00885">
              <w:t>].</w:t>
            </w:r>
          </w:p>
        </w:tc>
      </w:tr>
      <w:tr w:rsidR="00294A11" w:rsidTr="00041E41" w14:paraId="5A423D32" w14:textId="77777777">
        <w:tc>
          <w:tcPr>
            <w:tcW w:w="1335" w:type="pct"/>
          </w:tcPr>
          <w:p w:rsidRPr="006B6F36" w:rsidR="00294A11" w:rsidP="00041E41" w:rsidRDefault="00294A11" w14:paraId="2129300C" w14:textId="6C71F0FB">
            <w:pPr>
              <w:pStyle w:val="BText"/>
              <w:spacing w:before="120"/>
              <w:jc w:val="left"/>
              <w:rPr>
                <w:b/>
                <w:bCs/>
              </w:rPr>
            </w:pPr>
            <w:r w:rsidRPr="006B6F36">
              <w:rPr>
                <w:b/>
                <w:bCs/>
              </w:rPr>
              <w:t>Loan</w:t>
            </w:r>
          </w:p>
        </w:tc>
        <w:tc>
          <w:tcPr>
            <w:tcW w:w="3665" w:type="pct"/>
          </w:tcPr>
          <w:p w:rsidR="00294A11" w:rsidP="00041E41" w:rsidRDefault="00294A11" w14:paraId="4424FE72" w14:textId="7122F0F9">
            <w:pPr>
              <w:pStyle w:val="BText"/>
              <w:spacing w:before="120"/>
              <w:jc w:val="left"/>
            </w:pPr>
            <w:r w:rsidRPr="00E00885">
              <w:rPr>
                <w:color w:val="000000"/>
              </w:rPr>
              <w:t>Convertible loan by the Investor in amount of [CZK/EUR] [insert amount]</w:t>
            </w:r>
            <w:r w:rsidRPr="00E00885">
              <w:t xml:space="preserve"> </w:t>
            </w:r>
            <w:r w:rsidRPr="00E00885">
              <w:rPr>
                <w:color w:val="000000"/>
              </w:rPr>
              <w:t>payable to the Company within [</w:t>
            </w:r>
            <w:r w:rsidRPr="00E00885">
              <w:t>10</w:t>
            </w:r>
            <w:r w:rsidRPr="00E00885">
              <w:rPr>
                <w:color w:val="000000"/>
              </w:rPr>
              <w:t>] days after the conclusion of the Convertible Loan Agreement.</w:t>
            </w:r>
          </w:p>
        </w:tc>
      </w:tr>
      <w:tr w:rsidR="00294A11" w:rsidTr="00041E41" w14:paraId="213F435D" w14:textId="77777777">
        <w:tc>
          <w:tcPr>
            <w:tcW w:w="1335" w:type="pct"/>
          </w:tcPr>
          <w:p w:rsidRPr="006B6F36" w:rsidR="00294A11" w:rsidP="00041E41" w:rsidRDefault="00294A11" w14:paraId="3A328294" w14:textId="5013C782">
            <w:pPr>
              <w:pStyle w:val="BText"/>
              <w:spacing w:before="120"/>
              <w:jc w:val="left"/>
              <w:rPr>
                <w:b/>
                <w:bCs/>
              </w:rPr>
            </w:pPr>
            <w:r w:rsidRPr="006B6F36">
              <w:rPr>
                <w:b/>
                <w:bCs/>
              </w:rPr>
              <w:t>Purpose</w:t>
            </w:r>
          </w:p>
        </w:tc>
        <w:tc>
          <w:tcPr>
            <w:tcW w:w="3665" w:type="pct"/>
          </w:tcPr>
          <w:p w:rsidR="00294A11" w:rsidP="00041E41" w:rsidRDefault="00294A11" w14:paraId="3EC83252" w14:textId="38734E3D">
            <w:pPr>
              <w:pStyle w:val="BText"/>
              <w:spacing w:before="120"/>
              <w:jc w:val="left"/>
            </w:pPr>
            <w:r w:rsidRPr="00E00885">
              <w:t xml:space="preserve">The Loan will be used only for the </w:t>
            </w:r>
            <w:r>
              <w:t>developing the Company’s business</w:t>
            </w:r>
            <w:r>
              <w:rPr>
                <w:rStyle w:val="FootnoteReference"/>
                <w:rFonts w:eastAsia="Times New Roman"/>
              </w:rPr>
            </w:r>
            <w:r w:rsidRPr="00E00885">
              <w:t>.</w:t>
            </w:r>
          </w:p>
        </w:tc>
      </w:tr>
      <w:tr w:rsidR="00294A11" w:rsidTr="00041E41" w14:paraId="34EB9BF7" w14:textId="77777777">
        <w:tc>
          <w:tcPr>
            <w:tcW w:w="1335" w:type="pct"/>
          </w:tcPr>
          <w:p w:rsidRPr="006B6F36" w:rsidR="00294A11" w:rsidP="00041E41" w:rsidRDefault="00294A11" w14:paraId="13081CE1" w14:textId="57C2F95D">
            <w:pPr>
              <w:pStyle w:val="BText"/>
              <w:spacing w:before="120"/>
              <w:jc w:val="left"/>
              <w:rPr>
                <w:b/>
                <w:bCs/>
              </w:rPr>
            </w:pPr>
            <w:r w:rsidRPr="006B6F36">
              <w:rPr>
                <w:b/>
                <w:bCs/>
              </w:rPr>
              <w:t>Convertible Loan Agreement</w:t>
            </w:r>
          </w:p>
        </w:tc>
        <w:tc>
          <w:tcPr>
            <w:tcW w:w="3665" w:type="pct"/>
          </w:tcPr>
          <w:p w:rsidR="00294A11" w:rsidP="00041E41" w:rsidRDefault="00294A11" w14:paraId="3948B244" w14:textId="6DE5570C">
            <w:pPr>
              <w:pStyle w:val="BText"/>
              <w:spacing w:before="120"/>
              <w:jc w:val="left"/>
            </w:pPr>
            <w:r w:rsidRPr="00E00885">
              <w:t xml:space="preserve">The Loan will be provided under a convertible loan agreement reflecting this term sheet </w:t>
            </w:r>
            <w:r w:rsidRPr="00E00885">
              <w:rPr>
                <w:color w:val="000000"/>
              </w:rPr>
              <w:t>to be concluded between the Company, the Founder[s] and the Investor</w:t>
            </w:r>
            <w:r>
              <w:rPr>
                <w:color w:val="000000"/>
              </w:rPr>
              <w:t xml:space="preserve"> [based on the Czech Startup Documentation]</w:t>
            </w:r>
            <w:r w:rsidRPr="00E00885">
              <w:rPr>
                <w:color w:val="000000"/>
              </w:rPr>
              <w:t>.</w:t>
            </w:r>
          </w:p>
        </w:tc>
      </w:tr>
      <w:tr w:rsidR="00294A11" w:rsidTr="00041E41" w14:paraId="1C9E97CF" w14:textId="77777777">
        <w:tc>
          <w:tcPr>
            <w:tcW w:w="1335" w:type="pct"/>
          </w:tcPr>
          <w:p w:rsidRPr="006B6F36" w:rsidR="00294A11" w:rsidP="00041E41" w:rsidRDefault="00294A11" w14:paraId="4DCB3496" w14:textId="124967A4">
            <w:pPr>
              <w:pStyle w:val="BText"/>
              <w:spacing w:before="120"/>
              <w:jc w:val="left"/>
              <w:rPr>
                <w:b/>
                <w:bCs/>
              </w:rPr>
            </w:pPr>
            <w:r w:rsidRPr="006B6F36">
              <w:rPr>
                <w:b/>
                <w:bCs/>
              </w:rPr>
              <w:t>Discount Rate</w:t>
            </w:r>
          </w:p>
        </w:tc>
        <w:tc>
          <w:tcPr>
            <w:tcW w:w="3665" w:type="pct"/>
          </w:tcPr>
          <w:p w:rsidR="00294A11" w:rsidP="00041E41" w:rsidRDefault="00294A11" w14:paraId="07AD40E0" w14:textId="2519B0DB">
            <w:pPr>
              <w:pStyle w:val="BText"/>
              <w:spacing w:before="120"/>
              <w:jc w:val="left"/>
            </w:pPr>
            <w:r w:rsidRPr="00E00885">
              <w:rPr>
                <w:color w:val="000000"/>
              </w:rPr>
              <w:t xml:space="preserve">[insert decimal number calculated as follows: </w:t>
            </w:r>
            <w:r w:rsidRPr="00E00885">
              <w:t>[</w:t>
            </w:r>
            <w:r w:rsidRPr="00E00885">
              <w:rPr>
                <w:color w:val="000000"/>
              </w:rPr>
              <w:t xml:space="preserve">100 minus (agreed discount)]/100, </w:t>
            </w:r>
            <w:proofErr w:type="gramStart"/>
            <w:r w:rsidRPr="00E00885">
              <w:t>i.e.</w:t>
            </w:r>
            <w:proofErr w:type="gramEnd"/>
            <w:r w:rsidRPr="00E00885">
              <w:t xml:space="preserve"> 20% agreed discount amounts to the Discount Rate of 0.8</w:t>
            </w:r>
            <w:r w:rsidRPr="00E00885">
              <w:rPr>
                <w:color w:val="000000"/>
              </w:rPr>
              <w:t>]</w:t>
            </w:r>
            <w:r w:rsidRPr="00E00885">
              <w:rPr>
                <w:color w:val="000000"/>
                <w:vertAlign w:val="superscript"/>
              </w:rPr>
            </w:r>
          </w:p>
        </w:tc>
      </w:tr>
      <w:tr w:rsidR="00294A11" w:rsidTr="00041E41" w14:paraId="37296729" w14:textId="77777777">
        <w:tc>
          <w:tcPr>
            <w:tcW w:w="1335" w:type="pct"/>
          </w:tcPr>
          <w:p w:rsidRPr="006B6F36" w:rsidR="00294A11" w:rsidP="00041E41" w:rsidRDefault="00294A11" w14:paraId="0B32B027" w14:textId="2981119E">
            <w:pPr>
              <w:pStyle w:val="BText"/>
              <w:spacing w:before="120"/>
              <w:jc w:val="left"/>
              <w:rPr>
                <w:b/>
                <w:bCs/>
              </w:rPr>
            </w:pPr>
            <w:r w:rsidRPr="006B6F36">
              <w:rPr>
                <w:b/>
                <w:bCs/>
              </w:rPr>
              <w:t>Interest Rate</w:t>
            </w:r>
          </w:p>
        </w:tc>
        <w:tc>
          <w:tcPr>
            <w:tcW w:w="3665" w:type="pct"/>
          </w:tcPr>
          <w:p w:rsidR="00294A11" w:rsidP="00041E41" w:rsidRDefault="00294A11" w14:paraId="329C7460" w14:textId="578DA2A1">
            <w:pPr>
              <w:pStyle w:val="BText"/>
              <w:spacing w:before="120"/>
              <w:jc w:val="left"/>
            </w:pPr>
            <w:r w:rsidRPr="00E00885">
              <w:rPr>
                <w:color w:val="000000"/>
              </w:rPr>
              <w:t>A simple interest at the rate of [insert]</w:t>
            </w:r>
            <w:r w:rsidRPr="00E00885">
              <w:rPr>
                <w:color w:val="000000"/>
                <w:vertAlign w:val="superscript"/>
              </w:rPr>
            </w:r>
            <w:r w:rsidRPr="00E00885">
              <w:rPr>
                <w:color w:val="000000"/>
              </w:rPr>
              <w:t>% per annum.</w:t>
            </w:r>
          </w:p>
        </w:tc>
      </w:tr>
      <w:tr w:rsidR="00294A11" w:rsidTr="00041E41" w14:paraId="25586E50" w14:textId="77777777">
        <w:tc>
          <w:tcPr>
            <w:tcW w:w="1335" w:type="pct"/>
          </w:tcPr>
          <w:p w:rsidRPr="006B6F36" w:rsidR="00294A11" w:rsidP="00041E41" w:rsidRDefault="00294A11" w14:paraId="67090B86" w14:textId="4C8CBB38">
            <w:pPr>
              <w:pStyle w:val="BText"/>
              <w:spacing w:before="120"/>
              <w:jc w:val="left"/>
              <w:rPr>
                <w:b/>
                <w:bCs/>
              </w:rPr>
            </w:pPr>
            <w:r w:rsidRPr="006B6F36">
              <w:rPr>
                <w:b/>
                <w:bCs/>
              </w:rPr>
              <w:t>Maturity Date and Repayment</w:t>
            </w:r>
          </w:p>
        </w:tc>
        <w:tc>
          <w:tcPr>
            <w:tcW w:w="3665" w:type="pct"/>
          </w:tcPr>
          <w:p w:rsidRPr="00E00885" w:rsidR="00294A11" w:rsidP="00041E41" w:rsidRDefault="00294A11" w14:paraId="4DF72A1C" w14:textId="64838228">
            <w:pPr>
              <w:pStyle w:val="BText"/>
              <w:spacing w:before="120"/>
              <w:jc w:val="left"/>
            </w:pPr>
            <w:r w:rsidRPr="00E00885">
              <w:rPr>
                <w:color w:val="000000"/>
              </w:rPr>
              <w:t>[insert maturity date]</w:t>
            </w:r>
            <w:r w:rsidRPr="00E00885">
              <w:rPr>
                <w:color w:val="000000"/>
                <w:vertAlign w:val="superscript"/>
              </w:rPr>
            </w:r>
          </w:p>
          <w:p w:rsidRPr="00E00885" w:rsidR="00294A11" w:rsidP="00041E41" w:rsidRDefault="00294A11" w14:paraId="1E175B0D" w14:textId="2425228F">
            <w:pPr>
              <w:pStyle w:val="BText"/>
              <w:spacing w:before="120"/>
              <w:jc w:val="left"/>
            </w:pPr>
            <w:r w:rsidRPr="00E00885">
              <w:t>No early prepayment without the consent of the Investor.</w:t>
            </w:r>
          </w:p>
          <w:p w:rsidRPr="00E00885" w:rsidR="00294A11" w:rsidP="00041E41" w:rsidRDefault="00294A11" w14:paraId="610C063E" w14:textId="37C2F0BD">
            <w:pPr>
              <w:pStyle w:val="BText"/>
              <w:spacing w:before="120"/>
              <w:jc w:val="left"/>
              <w:rPr>
                <w:color w:val="000000"/>
              </w:rPr>
            </w:pPr>
            <w:r w:rsidRPr="00E00885">
              <w:t xml:space="preserve">The Convertible Loan Agreement will include customary list of events </w:t>
            </w:r>
            <w:r>
              <w:t xml:space="preserve">of default </w:t>
            </w:r>
            <w:r w:rsidRPr="00E00885">
              <w:t xml:space="preserve">upon which the Investor will be entitled to declare the Conversion Amount [plus sanction interest rate of </w:t>
            </w:r>
            <w:r w:rsidRPr="003765BB" w:rsidR="003765BB">
              <w:rPr>
                <w:lang w:val="en-US"/>
              </w:rPr>
              <w:sym w:font="Wingdings" w:char="F06C"/>
            </w:r>
            <w:r w:rsidRPr="00E00885">
              <w:t>] immediately payable.</w:t>
            </w:r>
          </w:p>
        </w:tc>
      </w:tr>
      <w:tr w:rsidR="00294A11" w:rsidTr="00041E41" w14:paraId="7CAFF84B" w14:textId="77777777">
        <w:tc>
          <w:tcPr>
            <w:tcW w:w="1335" w:type="pct"/>
          </w:tcPr>
          <w:p w:rsidRPr="006B6F36" w:rsidR="00294A11" w:rsidP="00041E41" w:rsidRDefault="00294A11" w14:paraId="567CA7B7" w14:textId="30CA74D9">
            <w:pPr>
              <w:pStyle w:val="BText"/>
              <w:spacing w:before="120"/>
              <w:jc w:val="left"/>
              <w:rPr>
                <w:b/>
                <w:bCs/>
              </w:rPr>
            </w:pPr>
            <w:r w:rsidRPr="006B6F36">
              <w:rPr>
                <w:b/>
                <w:bCs/>
              </w:rPr>
              <w:t>Qualified Financing</w:t>
            </w:r>
          </w:p>
        </w:tc>
        <w:tc>
          <w:tcPr>
            <w:tcW w:w="3665" w:type="pct"/>
          </w:tcPr>
          <w:p w:rsidRPr="00E00885" w:rsidR="00294A11" w:rsidP="00041E41" w:rsidRDefault="00294A11" w14:paraId="073AFAB0" w14:textId="45F7C3A1">
            <w:pPr>
              <w:pStyle w:val="BText"/>
              <w:spacing w:before="120"/>
              <w:jc w:val="left"/>
              <w:rPr>
                <w:color w:val="000000"/>
              </w:rPr>
            </w:pPr>
            <w:r w:rsidRPr="00F71964">
              <w:t xml:space="preserve">any </w:t>
            </w:r>
            <w:r>
              <w:t xml:space="preserve">new </w:t>
            </w:r>
            <w:r w:rsidRPr="00F71964">
              <w:t>equity financing [round] amounting to at least EUR [</w:t>
            </w:r>
            <w:r w:rsidRPr="003765BB" w:rsidR="003765BB">
              <w:rPr>
                <w:lang w:val="en-US"/>
              </w:rPr>
              <w:sym w:font="Wingdings" w:char="F06C"/>
            </w:r>
            <w:r w:rsidRPr="00F71964">
              <w:t>]</w:t>
            </w:r>
            <w:r w:rsidRPr="00E00885">
              <w:rPr>
                <w:color w:val="000000"/>
                <w:vertAlign w:val="superscript"/>
              </w:rPr>
            </w:r>
          </w:p>
        </w:tc>
      </w:tr>
      <w:tr w:rsidR="00294A11" w:rsidTr="00041E41" w14:paraId="66811390" w14:textId="77777777">
        <w:tc>
          <w:tcPr>
            <w:tcW w:w="1335" w:type="pct"/>
          </w:tcPr>
          <w:p w:rsidRPr="006B6F36" w:rsidR="00294A11" w:rsidP="00041E41" w:rsidRDefault="00294A11" w14:paraId="11956053" w14:textId="0EF7AC96">
            <w:pPr>
              <w:pStyle w:val="BText"/>
              <w:spacing w:before="120"/>
              <w:jc w:val="left"/>
              <w:rPr>
                <w:b/>
                <w:bCs/>
              </w:rPr>
            </w:pPr>
            <w:r w:rsidRPr="006B6F36">
              <w:rPr>
                <w:b/>
                <w:bCs/>
              </w:rPr>
              <w:t>Valuation Cap</w:t>
            </w:r>
          </w:p>
        </w:tc>
        <w:tc>
          <w:tcPr>
            <w:tcW w:w="3665" w:type="pct"/>
          </w:tcPr>
          <w:p w:rsidRPr="00F71964" w:rsidR="00294A11" w:rsidP="00041E41" w:rsidRDefault="006B6F36" w14:paraId="2A9D1025" w14:textId="47F405A2">
            <w:pPr>
              <w:pStyle w:val="BText"/>
              <w:spacing w:before="120"/>
              <w:jc w:val="left"/>
            </w:pPr>
            <w:r w:rsidRPr="00E00885">
              <w:t>EUR</w:t>
            </w:r>
            <w:r w:rsidRPr="00E00885">
              <w:rPr>
                <w:color w:val="000000"/>
              </w:rPr>
              <w:t xml:space="preserve"> [</w:t>
            </w:r>
            <w:r w:rsidRPr="00E00885" w:rsidR="00294A11">
              <w:rPr>
                <w:color w:val="000000"/>
              </w:rPr>
              <w:t>insert]</w:t>
            </w:r>
            <w:r w:rsidRPr="00E00885" w:rsidR="00294A11">
              <w:rPr>
                <w:color w:val="000000"/>
                <w:vertAlign w:val="superscript"/>
              </w:rPr>
            </w:r>
          </w:p>
        </w:tc>
      </w:tr>
      <w:tr w:rsidR="00294A11" w:rsidTr="00041E41" w14:paraId="0E6C6B2E" w14:textId="77777777">
        <w:tc>
          <w:tcPr>
            <w:tcW w:w="1335" w:type="pct"/>
          </w:tcPr>
          <w:p w:rsidRPr="006B6F36" w:rsidR="00294A11" w:rsidP="00041E41" w:rsidRDefault="00294A11" w14:paraId="0096992A" w14:textId="7058883B">
            <w:pPr>
              <w:pStyle w:val="BText"/>
              <w:spacing w:before="120"/>
              <w:jc w:val="left"/>
              <w:rPr>
                <w:b/>
                <w:bCs/>
              </w:rPr>
            </w:pPr>
            <w:r w:rsidRPr="006B6F36">
              <w:rPr>
                <w:b/>
                <w:bCs/>
              </w:rPr>
              <w:t>Valuation Floor</w:t>
            </w:r>
          </w:p>
        </w:tc>
        <w:tc>
          <w:tcPr>
            <w:tcW w:w="3665" w:type="pct"/>
          </w:tcPr>
          <w:p w:rsidRPr="00E00885" w:rsidR="00294A11" w:rsidP="00041E41" w:rsidRDefault="00294A11" w14:paraId="2C7E9023" w14:textId="0F6F30B1">
            <w:pPr>
              <w:pStyle w:val="BText"/>
              <w:spacing w:before="120"/>
              <w:jc w:val="left"/>
            </w:pPr>
            <w:r w:rsidRPr="00E00885">
              <w:t>EUR</w:t>
            </w:r>
            <w:r w:rsidRPr="00E00885">
              <w:rPr>
                <w:color w:val="000000"/>
              </w:rPr>
              <w:t xml:space="preserve"> [insert]</w:t>
            </w:r>
            <w:r w:rsidRPr="00E00885">
              <w:rPr>
                <w:color w:val="000000"/>
                <w:vertAlign w:val="superscript"/>
              </w:rPr>
            </w:r>
          </w:p>
        </w:tc>
      </w:tr>
      <w:tr w:rsidR="00294A11" w:rsidTr="00041E41" w14:paraId="3E9B11CE" w14:textId="77777777">
        <w:tc>
          <w:tcPr>
            <w:tcW w:w="1335" w:type="pct"/>
          </w:tcPr>
          <w:p w:rsidRPr="006B6F36" w:rsidR="00294A11" w:rsidP="00041E41" w:rsidRDefault="00294A11" w14:paraId="21F029C3" w14:textId="5E06D0B2">
            <w:pPr>
              <w:pStyle w:val="BText"/>
              <w:spacing w:before="120"/>
              <w:jc w:val="left"/>
              <w:rPr>
                <w:b/>
                <w:bCs/>
              </w:rPr>
            </w:pPr>
            <w:r w:rsidRPr="006B6F36">
              <w:rPr>
                <w:b/>
                <w:bCs/>
              </w:rPr>
              <w:t>Conversion Share</w:t>
            </w:r>
          </w:p>
        </w:tc>
        <w:tc>
          <w:tcPr>
            <w:tcW w:w="3665" w:type="pct"/>
          </w:tcPr>
          <w:p w:rsidRPr="00FB58DB" w:rsidR="00294A11" w:rsidP="00041E41" w:rsidRDefault="00294A11" w14:paraId="468113BB" w14:textId="77777777">
            <w:pPr>
              <w:pStyle w:val="BText"/>
              <w:spacing w:before="120"/>
              <w:jc w:val="left"/>
            </w:pPr>
            <w:r w:rsidRPr="00FB58DB">
              <w:t xml:space="preserve">the shareholding (in Czech </w:t>
            </w:r>
            <w:proofErr w:type="spellStart"/>
            <w:r w:rsidRPr="00FB58DB">
              <w:rPr>
                <w:i/>
              </w:rPr>
              <w:t>podíl</w:t>
            </w:r>
            <w:proofErr w:type="spellEnd"/>
            <w:r w:rsidRPr="00FB58DB">
              <w:t>) in the Company which the Investor shall receive as a result of the Conversion, the size of which shall be determined as a portion of the Total Shares (</w:t>
            </w:r>
            <w:proofErr w:type="gramStart"/>
            <w:r w:rsidRPr="00FB58DB">
              <w:t>i.e.</w:t>
            </w:r>
            <w:proofErr w:type="gramEnd"/>
            <w:r w:rsidRPr="00FB58DB">
              <w:t xml:space="preserve"> on a fully diluted basis) calculated as follows:</w:t>
            </w:r>
          </w:p>
          <w:p w:rsidRPr="00E00885" w:rsidR="00294A11" w:rsidP="00041E41" w:rsidRDefault="00294A11" w14:paraId="157EDAC2" w14:textId="60DEC952">
            <w:pPr>
              <w:pStyle w:val="BText"/>
              <w:spacing w:before="120"/>
              <w:jc w:val="left"/>
            </w:pPr>
            <w:r w:rsidRPr="00FB58DB">
              <w:rPr>
                <w:i/>
              </w:rPr>
              <w:lastRenderedPageBreak/>
              <w:t xml:space="preserve">Conversion Share (in percentages) = Conversion Amount/Qualified Valuation or Valuation Floor (as </w:t>
            </w:r>
            <w:proofErr w:type="gramStart"/>
            <w:r w:rsidRPr="00FB58DB">
              <w:rPr>
                <w:i/>
              </w:rPr>
              <w:t>applicable)x</w:t>
            </w:r>
            <w:proofErr w:type="gramEnd"/>
            <w:r w:rsidRPr="00FB58DB">
              <w:rPr>
                <w:i/>
              </w:rPr>
              <w:t>100;</w:t>
            </w:r>
          </w:p>
        </w:tc>
      </w:tr>
      <w:tr w:rsidR="00294A11" w:rsidTr="00041E41" w14:paraId="23BC4521" w14:textId="77777777">
        <w:tc>
          <w:tcPr>
            <w:tcW w:w="1335" w:type="pct"/>
          </w:tcPr>
          <w:p w:rsidRPr="006B6F36" w:rsidR="00294A11" w:rsidP="00041E41" w:rsidRDefault="00294A11" w14:paraId="5326745C" w14:textId="61F17B40">
            <w:pPr>
              <w:pStyle w:val="BText"/>
              <w:spacing w:before="120"/>
              <w:jc w:val="left"/>
              <w:rPr>
                <w:b/>
                <w:bCs/>
              </w:rPr>
            </w:pPr>
            <w:r w:rsidRPr="006B6F36">
              <w:rPr>
                <w:b/>
                <w:bCs/>
              </w:rPr>
              <w:lastRenderedPageBreak/>
              <w:t>Conversion at Qualified Financing</w:t>
            </w:r>
          </w:p>
        </w:tc>
        <w:tc>
          <w:tcPr>
            <w:tcW w:w="3665" w:type="pct"/>
          </w:tcPr>
          <w:p w:rsidRPr="00E00885" w:rsidR="00294A11" w:rsidP="00041E41" w:rsidRDefault="00294A11" w14:paraId="1CA28D09" w14:textId="77777777">
            <w:pPr>
              <w:pStyle w:val="BText"/>
              <w:spacing w:before="120"/>
              <w:jc w:val="left"/>
            </w:pPr>
            <w:r w:rsidRPr="00E00885">
              <w:t xml:space="preserve">Upon the closing of the </w:t>
            </w:r>
            <w:r w:rsidRPr="00E00885">
              <w:rPr>
                <w:b/>
              </w:rPr>
              <w:t>Qualified Financing</w:t>
            </w:r>
            <w:r w:rsidRPr="00E00885">
              <w:t>, the outstanding principal amount of the Loan with accrued interest (the </w:t>
            </w:r>
            <w:r w:rsidRPr="00E00885">
              <w:rPr>
                <w:b/>
              </w:rPr>
              <w:t>Conversion Amount</w:t>
            </w:r>
            <w:r w:rsidRPr="00E00885">
              <w:t xml:space="preserve">) shall be converted concurrently with the completion of the Qualified Financing at the valuation of the Company set as the lower of: </w:t>
            </w:r>
            <w:r w:rsidRPr="00E00885">
              <w:rPr>
                <w:b/>
              </w:rPr>
              <w:t>(a)</w:t>
            </w:r>
            <w:r w:rsidRPr="00E00885">
              <w:t xml:space="preserve"> a post-money valuation of the Company upon the Qualified Financing applying the Discount Rate calculated as follows: “(</w:t>
            </w:r>
            <w:r w:rsidRPr="00E00885">
              <w:rPr>
                <w:i/>
              </w:rPr>
              <w:t>Qualified Investment / Qualified Share) * (Discount Rate)</w:t>
            </w:r>
            <w:r w:rsidRPr="00E00885">
              <w:t xml:space="preserve">”; or </w:t>
            </w:r>
            <w:r w:rsidRPr="00E00885">
              <w:rPr>
                <w:b/>
              </w:rPr>
              <w:t>(b)</w:t>
            </w:r>
            <w:r w:rsidRPr="00E00885">
              <w:t xml:space="preserve"> Valuation Cap (the </w:t>
            </w:r>
            <w:r w:rsidRPr="00E00885">
              <w:rPr>
                <w:b/>
              </w:rPr>
              <w:t>Qualified Valuation</w:t>
            </w:r>
            <w:r w:rsidRPr="00E00885">
              <w:t>), where:</w:t>
            </w:r>
            <w:r w:rsidRPr="00E00885">
              <w:rPr>
                <w:vertAlign w:val="superscript"/>
              </w:rPr>
            </w:r>
          </w:p>
          <w:p w:rsidRPr="00E00885" w:rsidR="00294A11" w:rsidP="00041E41" w:rsidRDefault="00294A11" w14:paraId="23095C13" w14:textId="08123EF7">
            <w:pPr>
              <w:pStyle w:val="BText"/>
              <w:spacing w:before="120"/>
              <w:jc w:val="left"/>
            </w:pPr>
            <w:r w:rsidRPr="00E00885">
              <w:rPr>
                <w:i/>
              </w:rPr>
              <w:t>Qualified Investment</w:t>
            </w:r>
            <w:r w:rsidRPr="00E00885">
              <w:t xml:space="preserve"> means the total proceeds provided or unconditionally committed to the Company by the new investor(s) within the Qualified Financing; and</w:t>
            </w:r>
          </w:p>
          <w:p w:rsidRPr="00FB58DB" w:rsidR="00294A11" w:rsidP="00041E41" w:rsidRDefault="00294A11" w14:paraId="054ADAE5" w14:textId="3F062EBF">
            <w:pPr>
              <w:pStyle w:val="BText"/>
              <w:spacing w:before="120"/>
              <w:jc w:val="left"/>
            </w:pPr>
            <w:r w:rsidRPr="00E00885">
              <w:rPr>
                <w:i/>
              </w:rPr>
              <w:t>Qualified Share</w:t>
            </w:r>
            <w:r w:rsidRPr="00E00885">
              <w:t xml:space="preserve"> means the total shareholding in the Company acquired by the new investor(s) within the Qualified Financing in the form of a decimal number (</w:t>
            </w:r>
            <w:proofErr w:type="gramStart"/>
            <w:r w:rsidRPr="00E00885">
              <w:t>e.g.</w:t>
            </w:r>
            <w:proofErr w:type="gramEnd"/>
            <w:r w:rsidRPr="00E00885">
              <w:t xml:space="preserve"> 10% being 0.1).</w:t>
            </w:r>
          </w:p>
        </w:tc>
      </w:tr>
      <w:tr w:rsidR="00294A11" w:rsidTr="00041E41" w14:paraId="6CF82228" w14:textId="77777777">
        <w:tc>
          <w:tcPr>
            <w:tcW w:w="1335" w:type="pct"/>
          </w:tcPr>
          <w:p w:rsidRPr="006B6F36" w:rsidR="00294A11" w:rsidP="00041E41" w:rsidRDefault="00294A11" w14:paraId="4A05ACF3" w14:textId="0643494D">
            <w:pPr>
              <w:pStyle w:val="BText"/>
              <w:spacing w:before="120"/>
              <w:jc w:val="left"/>
              <w:rPr>
                <w:b/>
                <w:bCs/>
              </w:rPr>
            </w:pPr>
            <w:r w:rsidRPr="006B6F36">
              <w:rPr>
                <w:b/>
                <w:bCs/>
              </w:rPr>
              <w:t>Conversion at Liquidity Event</w:t>
            </w:r>
          </w:p>
        </w:tc>
        <w:tc>
          <w:tcPr>
            <w:tcW w:w="3665" w:type="pct"/>
          </w:tcPr>
          <w:p w:rsidRPr="00E00885" w:rsidR="00294A11" w:rsidP="00041E41" w:rsidRDefault="00294A11" w14:paraId="5E5FD0AF" w14:textId="77777777">
            <w:pPr>
              <w:pStyle w:val="BText"/>
              <w:spacing w:before="120"/>
              <w:jc w:val="left"/>
            </w:pPr>
            <w:r w:rsidRPr="00E00885">
              <w:t>If any Liquidity Event occurs before any Qualified Financing or the Maturity Date, the Investor will be entitled to request that:</w:t>
            </w:r>
          </w:p>
          <w:p w:rsidRPr="00E70589" w:rsidR="00294A11" w:rsidP="00041E41" w:rsidRDefault="00294A11" w14:paraId="1CD5AEE1" w14:textId="77777777">
            <w:pPr>
              <w:pStyle w:val="AltOutNum3"/>
              <w:spacing w:before="120"/>
              <w:ind w:left="720"/>
              <w:jc w:val="left"/>
            </w:pPr>
            <w:r w:rsidRPr="00E70589">
              <w:t>the Conversion Amount will be converted concurrently with the completion of the Liquidity Event into the Conversion Share at the valuation of the Company set as the Valuation Floor; or</w:t>
            </w:r>
          </w:p>
          <w:p w:rsidRPr="00E70589" w:rsidR="00294A11" w:rsidP="00041E41" w:rsidRDefault="00294A11" w14:paraId="4CA2B764" w14:textId="6B3C24E2">
            <w:pPr>
              <w:pStyle w:val="AltOutNum3"/>
              <w:spacing w:before="120"/>
              <w:ind w:left="720"/>
              <w:jc w:val="left"/>
            </w:pPr>
            <w:r w:rsidRPr="00E70589">
              <w:t>the Conversion Amount will become immediately payable; or</w:t>
            </w:r>
          </w:p>
          <w:p w:rsidRPr="00E70589" w:rsidR="00294A11" w:rsidP="00041E41" w:rsidRDefault="00294A11" w14:paraId="19626660" w14:textId="77777777">
            <w:pPr>
              <w:pStyle w:val="AltOutNum3"/>
              <w:spacing w:before="120"/>
              <w:ind w:left="720"/>
              <w:jc w:val="left"/>
            </w:pPr>
            <w:r w:rsidRPr="00E70589">
              <w:t>neither of the option above will apply and the Loan will continue as unaffected.</w:t>
            </w:r>
          </w:p>
          <w:p w:rsidRPr="00E00885" w:rsidR="00294A11" w:rsidP="00041E41" w:rsidRDefault="00294A11" w14:paraId="56C8B5ED" w14:textId="7D5FE796">
            <w:pPr>
              <w:pStyle w:val="BText"/>
              <w:spacing w:before="120"/>
              <w:jc w:val="left"/>
            </w:pPr>
            <w:r w:rsidRPr="00E00885">
              <w:rPr>
                <w:i/>
              </w:rPr>
              <w:t>Liquidity Event</w:t>
            </w:r>
            <w:r w:rsidRPr="00E00885">
              <w:t xml:space="preserve"> means voluntary dissolution of the Company with liquidation, change of control of the Company, transfer of an enterprise of the Company or any material part of it, </w:t>
            </w:r>
            <w:proofErr w:type="gramStart"/>
            <w:r w:rsidRPr="00E00885">
              <w:t>transfer</w:t>
            </w:r>
            <w:proofErr w:type="gramEnd"/>
            <w:r w:rsidRPr="00E00885">
              <w:t xml:space="preserve"> or disposal of all or substantially all of the assets of the Company beyond ordinary course of business, or IPO.</w:t>
            </w:r>
          </w:p>
        </w:tc>
      </w:tr>
      <w:tr w:rsidR="00294A11" w:rsidTr="00041E41" w14:paraId="4DCAA3BA" w14:textId="77777777">
        <w:tc>
          <w:tcPr>
            <w:tcW w:w="1335" w:type="pct"/>
          </w:tcPr>
          <w:p w:rsidRPr="006B6F36" w:rsidR="00294A11" w:rsidP="00041E41" w:rsidRDefault="00294A11" w14:paraId="4F682C3D" w14:textId="63445E80">
            <w:pPr>
              <w:pStyle w:val="BText"/>
              <w:spacing w:before="120"/>
              <w:jc w:val="left"/>
              <w:rPr>
                <w:b/>
                <w:bCs/>
              </w:rPr>
            </w:pPr>
            <w:r w:rsidRPr="006B6F36">
              <w:rPr>
                <w:b/>
                <w:bCs/>
              </w:rPr>
              <w:t>Maturity Date conversion or repayment</w:t>
            </w:r>
          </w:p>
        </w:tc>
        <w:tc>
          <w:tcPr>
            <w:tcW w:w="3665" w:type="pct"/>
          </w:tcPr>
          <w:p w:rsidRPr="00E00885" w:rsidR="00294A11" w:rsidP="00041E41" w:rsidRDefault="00294A11" w14:paraId="12017A11" w14:textId="77777777">
            <w:pPr>
              <w:pStyle w:val="BText"/>
              <w:spacing w:before="120"/>
              <w:jc w:val="left"/>
            </w:pPr>
            <w:r w:rsidRPr="00E00885">
              <w:t>If the Maturity Date occurs before any Qualified Financing or any Liquidity Event, the Investor will be entitled to request that:</w:t>
            </w:r>
          </w:p>
          <w:p w:rsidRPr="00E00885" w:rsidR="00294A11" w:rsidP="00041E41" w:rsidRDefault="00294A11" w14:paraId="5DB487FC" w14:textId="77777777">
            <w:pPr>
              <w:pStyle w:val="OutNum3"/>
              <w:numPr>
                <w:ilvl w:val="2"/>
                <w:numId w:val="46"/>
              </w:numPr>
              <w:tabs>
                <w:tab w:val="clear" w:pos="1440"/>
                <w:tab w:val="num" w:pos="646"/>
              </w:tabs>
              <w:spacing w:before="120"/>
              <w:ind w:left="646" w:hanging="646"/>
              <w:jc w:val="left"/>
            </w:pPr>
            <w:r w:rsidRPr="00E00885">
              <w:t>the Conversion Amount will be converted on the Maturity Date into the Conversion Share at the valuation of the Company set as the Valuation Floor; or</w:t>
            </w:r>
          </w:p>
          <w:p w:rsidRPr="00E00885" w:rsidR="00294A11" w:rsidP="00041E41" w:rsidRDefault="00294A11" w14:paraId="6A760C81" w14:textId="71D1B605">
            <w:pPr>
              <w:pStyle w:val="AltOutNum3"/>
              <w:spacing w:before="120"/>
              <w:ind w:left="646" w:hanging="646"/>
              <w:jc w:val="left"/>
            </w:pPr>
            <w:r w:rsidRPr="00E00885">
              <w:t>the Conversion Amount will become immediately payable.</w:t>
            </w:r>
          </w:p>
        </w:tc>
      </w:tr>
      <w:tr w:rsidR="00294A11" w:rsidTr="00041E41" w14:paraId="4320DD5F" w14:textId="77777777">
        <w:tc>
          <w:tcPr>
            <w:tcW w:w="1335" w:type="pct"/>
          </w:tcPr>
          <w:p w:rsidRPr="006B6F36" w:rsidR="00294A11" w:rsidP="00041E41" w:rsidRDefault="00294A11" w14:paraId="20ACE271" w14:textId="5ED959CE">
            <w:pPr>
              <w:pStyle w:val="BText"/>
              <w:spacing w:before="120"/>
              <w:jc w:val="left"/>
              <w:rPr>
                <w:b/>
                <w:bCs/>
              </w:rPr>
            </w:pPr>
            <w:r w:rsidRPr="006B6F36">
              <w:rPr>
                <w:b/>
                <w:bCs/>
              </w:rPr>
              <w:t>Information rights</w:t>
            </w:r>
          </w:p>
        </w:tc>
        <w:tc>
          <w:tcPr>
            <w:tcW w:w="3665" w:type="pct"/>
          </w:tcPr>
          <w:p w:rsidRPr="00E00885" w:rsidR="00294A11" w:rsidP="00041E41" w:rsidRDefault="00294A11" w14:paraId="2377B9D5" w14:textId="66E39738">
            <w:pPr>
              <w:pStyle w:val="BText"/>
              <w:spacing w:before="120"/>
              <w:jc w:val="left"/>
            </w:pPr>
            <w:r w:rsidRPr="00E00885">
              <w:t xml:space="preserve">[On a </w:t>
            </w:r>
            <w:proofErr w:type="spellStart"/>
            <w:r w:rsidRPr="00E00885">
              <w:t>pari</w:t>
            </w:r>
            <w:proofErr w:type="spellEnd"/>
            <w:r w:rsidRPr="00E00885">
              <w:t xml:space="preserve"> passu basis with the current shareholders]</w:t>
            </w:r>
            <w:r w:rsidRPr="00E00885">
              <w:rPr>
                <w:vertAlign w:val="superscript"/>
              </w:rPr>
            </w:r>
            <w:r w:rsidRPr="00E00885">
              <w:t xml:space="preserve"> OR [The Company will deliver to the Investor: (a) monthly reports about financials, </w:t>
            </w:r>
            <w:proofErr w:type="spellStart"/>
            <w:r w:rsidRPr="00E00885">
              <w:t>KPIs</w:t>
            </w:r>
            <w:proofErr w:type="spellEnd"/>
            <w:r w:rsidRPr="00E00885">
              <w:t xml:space="preserve"> and other metrics in the format approved by the Investor, within 15 days of the end of each month; (b) annual financial statements - within three months of the end of each financial year or within six months of the end of each financial year in case of audited financial statements, and (c) information on events and circumstances that may have a material </w:t>
            </w:r>
            <w:r w:rsidRPr="00E00885">
              <w:lastRenderedPageBreak/>
              <w:t>adverse effect on the business specifying actions taken or proposed by the Company - as soon as possible].</w:t>
            </w:r>
            <w:r w:rsidRPr="00E00885">
              <w:rPr>
                <w:vertAlign w:val="superscript"/>
              </w:rPr>
            </w:r>
          </w:p>
        </w:tc>
      </w:tr>
      <w:tr w:rsidR="00294A11" w:rsidTr="00041E41" w14:paraId="5BBC3315" w14:textId="77777777">
        <w:tc>
          <w:tcPr>
            <w:tcW w:w="1335" w:type="pct"/>
          </w:tcPr>
          <w:p w:rsidRPr="006B6F36" w:rsidR="00294A11" w:rsidP="00041E41" w:rsidRDefault="00294A11" w14:paraId="57B35E5D" w14:textId="5E00A08B">
            <w:pPr>
              <w:pStyle w:val="BText"/>
              <w:spacing w:before="120"/>
              <w:jc w:val="left"/>
              <w:rPr>
                <w:b/>
                <w:bCs/>
              </w:rPr>
            </w:pPr>
            <w:r w:rsidRPr="006B6F36">
              <w:rPr>
                <w:b/>
                <w:bCs/>
              </w:rPr>
              <w:lastRenderedPageBreak/>
              <w:t>[Most Favoured Nation]</w:t>
            </w:r>
          </w:p>
        </w:tc>
        <w:tc>
          <w:tcPr>
            <w:tcW w:w="3665" w:type="pct"/>
          </w:tcPr>
          <w:p w:rsidRPr="00E00885" w:rsidR="00294A11" w:rsidP="00041E41" w:rsidRDefault="00294A11" w14:paraId="173808F4" w14:textId="50EA3BD3">
            <w:pPr>
              <w:pStyle w:val="BText"/>
              <w:spacing w:before="120"/>
              <w:jc w:val="left"/>
              <w:rPr>
                <w:rFonts w:eastAsia="Times New Roman"/>
              </w:rPr>
            </w:pPr>
            <w:r w:rsidRPr="00E00885">
              <w:rPr>
                <w:rFonts w:eastAsia="Times New Roman"/>
              </w:rPr>
              <w:t xml:space="preserve">[The Convertible Loan Agreement will include the most favoured nation clause for the benefit of the Investor in respect of any subsequent convertible loan agreement or convertible notes, </w:t>
            </w:r>
            <w:proofErr w:type="gramStart"/>
            <w:r w:rsidRPr="00E00885">
              <w:rPr>
                <w:rFonts w:eastAsia="Times New Roman"/>
              </w:rPr>
              <w:t>bonds</w:t>
            </w:r>
            <w:proofErr w:type="gramEnd"/>
            <w:r w:rsidRPr="00E00885">
              <w:rPr>
                <w:rFonts w:eastAsia="Times New Roman"/>
              </w:rPr>
              <w:t xml:space="preserve"> or similar instruments (other than ESOP) entered or issued by the Company at any time prior to the conversion or repayment of the Conversion Amount.]</w:t>
            </w:r>
          </w:p>
        </w:tc>
      </w:tr>
      <w:tr w:rsidR="00294A11" w:rsidTr="00041E41" w14:paraId="13AEDFB8" w14:textId="77777777">
        <w:tc>
          <w:tcPr>
            <w:tcW w:w="1335" w:type="pct"/>
          </w:tcPr>
          <w:p w:rsidRPr="006B6F36" w:rsidR="00294A11" w:rsidP="00041E41" w:rsidRDefault="00294A11" w14:paraId="62812313" w14:textId="36C94E7E">
            <w:pPr>
              <w:pStyle w:val="BText"/>
              <w:spacing w:before="120"/>
              <w:jc w:val="left"/>
              <w:rPr>
                <w:b/>
                <w:bCs/>
              </w:rPr>
            </w:pPr>
            <w:r w:rsidRPr="006B6F36">
              <w:rPr>
                <w:b/>
                <w:bCs/>
              </w:rPr>
              <w:t>[Other Investor rights]</w:t>
            </w:r>
          </w:p>
        </w:tc>
        <w:tc>
          <w:tcPr>
            <w:tcW w:w="3665" w:type="pct"/>
          </w:tcPr>
          <w:p w:rsidRPr="00E00885" w:rsidR="00294A11" w:rsidP="00041E41" w:rsidRDefault="00294A11" w14:paraId="0F2B858B" w14:textId="4505FA00">
            <w:pPr>
              <w:pStyle w:val="BText"/>
              <w:spacing w:before="120"/>
              <w:jc w:val="left"/>
              <w:rPr>
                <w:rFonts w:eastAsia="Times New Roman"/>
              </w:rPr>
            </w:pPr>
            <w:r w:rsidRPr="00E00885">
              <w:rPr>
                <w:rFonts w:eastAsia="Times New Roman"/>
              </w:rPr>
              <w:t xml:space="preserve">[For instance, </w:t>
            </w:r>
            <w:r w:rsidRPr="00E00885">
              <w:rPr>
                <w:rFonts w:eastAsia="Times New Roman"/>
                <w:i/>
                <w:color w:val="000000"/>
              </w:rPr>
              <w:t>pro rata</w:t>
            </w:r>
            <w:r w:rsidRPr="00E00885">
              <w:rPr>
                <w:rFonts w:eastAsia="Times New Roman"/>
                <w:color w:val="000000"/>
              </w:rPr>
              <w:t xml:space="preserve"> participation rights</w:t>
            </w:r>
            <w:r w:rsidRPr="00E00885">
              <w:rPr>
                <w:rFonts w:eastAsia="Times New Roman"/>
              </w:rPr>
              <w:t xml:space="preserve"> </w:t>
            </w:r>
            <w:r w:rsidRPr="00E00885">
              <w:rPr>
                <w:rFonts w:eastAsia="Times New Roman"/>
                <w:color w:val="000000"/>
              </w:rPr>
              <w:t>or other investor rights</w:t>
            </w:r>
            <w:r w:rsidRPr="00E00885">
              <w:rPr>
                <w:rFonts w:eastAsia="Times New Roman"/>
              </w:rPr>
              <w:t>]</w:t>
            </w:r>
            <w:r w:rsidRPr="00E00885">
              <w:rPr>
                <w:rFonts w:eastAsia="Times New Roman"/>
                <w:vertAlign w:val="superscript"/>
              </w:rPr>
            </w:r>
          </w:p>
        </w:tc>
      </w:tr>
      <w:tr w:rsidR="00294A11" w:rsidTr="00041E41" w14:paraId="7F996B07" w14:textId="77777777">
        <w:tc>
          <w:tcPr>
            <w:tcW w:w="1335" w:type="pct"/>
          </w:tcPr>
          <w:p w:rsidRPr="006B6F36" w:rsidR="00294A11" w:rsidP="00041E41" w:rsidRDefault="00294A11" w14:paraId="12DBF656" w14:textId="3BABD86A">
            <w:pPr>
              <w:pStyle w:val="BText"/>
              <w:spacing w:before="120"/>
              <w:jc w:val="left"/>
              <w:rPr>
                <w:b/>
                <w:bCs/>
              </w:rPr>
            </w:pPr>
            <w:r w:rsidRPr="006B6F36">
              <w:rPr>
                <w:b/>
                <w:bCs/>
              </w:rPr>
              <w:t>Warranties</w:t>
            </w:r>
          </w:p>
        </w:tc>
        <w:tc>
          <w:tcPr>
            <w:tcW w:w="3665" w:type="pct"/>
          </w:tcPr>
          <w:p w:rsidRPr="00E00885" w:rsidR="00294A11" w:rsidP="00041E41" w:rsidRDefault="00294A11" w14:paraId="1B8605CE" w14:textId="370899CB">
            <w:pPr>
              <w:pStyle w:val="BText"/>
              <w:spacing w:before="120"/>
              <w:jc w:val="left"/>
              <w:rPr>
                <w:rFonts w:eastAsia="Times New Roman"/>
              </w:rPr>
            </w:pPr>
            <w:r w:rsidRPr="00E00885">
              <w:rPr>
                <w:rFonts w:eastAsia="Times New Roman"/>
              </w:rPr>
              <w:t>The Convertible Loan Agreement will include representations and warranties provided by the Company and the Founder[s] customary for the size and industry of the Company and the Loan.</w:t>
            </w:r>
          </w:p>
        </w:tc>
      </w:tr>
      <w:tr w:rsidR="00294A11" w:rsidTr="00041E41" w14:paraId="72E9772B" w14:textId="77777777">
        <w:tc>
          <w:tcPr>
            <w:tcW w:w="1335" w:type="pct"/>
          </w:tcPr>
          <w:p w:rsidRPr="006B6F36" w:rsidR="00294A11" w:rsidP="00041E41" w:rsidRDefault="00294A11" w14:paraId="411926E2" w14:textId="2B8803F2">
            <w:pPr>
              <w:pStyle w:val="BText"/>
              <w:spacing w:before="120"/>
              <w:jc w:val="left"/>
              <w:rPr>
                <w:b/>
                <w:bCs/>
              </w:rPr>
            </w:pPr>
            <w:r w:rsidRPr="006B6F36">
              <w:rPr>
                <w:b/>
                <w:bCs/>
              </w:rPr>
              <w:t>Closing conditions and estimated signing</w:t>
            </w:r>
          </w:p>
        </w:tc>
        <w:tc>
          <w:tcPr>
            <w:tcW w:w="3665" w:type="pct"/>
          </w:tcPr>
          <w:p w:rsidRPr="00E00885" w:rsidR="00294A11" w:rsidP="00041E41" w:rsidRDefault="00294A11" w14:paraId="7CF58B2F" w14:textId="1C0C2758">
            <w:pPr>
              <w:pStyle w:val="BText"/>
              <w:spacing w:before="120"/>
              <w:jc w:val="left"/>
              <w:rPr>
                <w:rFonts w:eastAsia="Times New Roman"/>
              </w:rPr>
            </w:pPr>
            <w:r w:rsidRPr="00E00885">
              <w:rPr>
                <w:rFonts w:eastAsia="Times New Roman"/>
                <w:color w:val="000000"/>
              </w:rPr>
              <w:t>Customary conditions to closing, including satisfactory due diligence by the Investor shall be completed. Estimated signing date is [30] days after signing this term sheet.</w:t>
            </w:r>
          </w:p>
        </w:tc>
      </w:tr>
      <w:tr w:rsidR="00294A11" w:rsidTr="00041E41" w14:paraId="0813BF6E" w14:textId="77777777">
        <w:tc>
          <w:tcPr>
            <w:tcW w:w="1335" w:type="pct"/>
          </w:tcPr>
          <w:p w:rsidRPr="006B6F36" w:rsidR="00294A11" w:rsidP="00041E41" w:rsidRDefault="00294A11" w14:paraId="2457F714" w14:textId="11549E81">
            <w:pPr>
              <w:pStyle w:val="BText"/>
              <w:spacing w:before="120"/>
              <w:jc w:val="left"/>
              <w:rPr>
                <w:b/>
                <w:bCs/>
              </w:rPr>
            </w:pPr>
            <w:r w:rsidRPr="006B6F36">
              <w:rPr>
                <w:b/>
                <w:bCs/>
              </w:rPr>
              <w:t>Documentation</w:t>
            </w:r>
          </w:p>
        </w:tc>
        <w:tc>
          <w:tcPr>
            <w:tcW w:w="3665" w:type="pct"/>
          </w:tcPr>
          <w:p w:rsidRPr="00E00885" w:rsidR="00294A11" w:rsidP="00041E41" w:rsidRDefault="00294A11" w14:paraId="5DAE7036" w14:textId="38C22701">
            <w:pPr>
              <w:pStyle w:val="BText"/>
              <w:spacing w:before="120"/>
              <w:jc w:val="left"/>
              <w:rPr>
                <w:rFonts w:eastAsia="Times New Roman"/>
                <w:color w:val="000000"/>
              </w:rPr>
            </w:pPr>
            <w:r w:rsidRPr="00E00885">
              <w:rPr>
                <w:rFonts w:eastAsia="Times New Roman"/>
                <w:color w:val="000000"/>
              </w:rPr>
              <w:t xml:space="preserve">Definitive agreements will be based on the model convertible loan agreement </w:t>
            </w:r>
            <w:r w:rsidRPr="00E00885">
              <w:rPr>
                <w:rFonts w:eastAsia="Times New Roman"/>
              </w:rPr>
              <w:t>published by the initiative “Czech Startup Documentation”</w:t>
            </w:r>
            <w:r w:rsidRPr="00E00885">
              <w:rPr>
                <w:rFonts w:eastAsia="Times New Roman"/>
                <w:color w:val="000000"/>
              </w:rPr>
              <w:t xml:space="preserve">. The first </w:t>
            </w:r>
            <w:r w:rsidRPr="00E00885">
              <w:rPr>
                <w:rFonts w:eastAsia="Times New Roman"/>
              </w:rPr>
              <w:t>draft of the Convertible Loan Agreement will be prepared by [the Company/the Investor].</w:t>
            </w:r>
          </w:p>
        </w:tc>
      </w:tr>
      <w:tr w:rsidR="00294A11" w:rsidTr="00041E41" w14:paraId="58FE8F9D" w14:textId="77777777">
        <w:tc>
          <w:tcPr>
            <w:tcW w:w="1335" w:type="pct"/>
          </w:tcPr>
          <w:p w:rsidRPr="006B6F36" w:rsidR="00294A11" w:rsidP="00041E41" w:rsidRDefault="00294A11" w14:paraId="42AF4ECA" w14:textId="38D8590C">
            <w:pPr>
              <w:pStyle w:val="BText"/>
              <w:spacing w:before="120"/>
              <w:jc w:val="left"/>
              <w:rPr>
                <w:b/>
                <w:bCs/>
              </w:rPr>
            </w:pPr>
            <w:r w:rsidRPr="006B6F36">
              <w:rPr>
                <w:b/>
                <w:bCs/>
              </w:rPr>
              <w:t>Confidentiality</w:t>
            </w:r>
          </w:p>
        </w:tc>
        <w:tc>
          <w:tcPr>
            <w:tcW w:w="3665" w:type="pct"/>
          </w:tcPr>
          <w:p w:rsidRPr="00E00885" w:rsidR="00294A11" w:rsidP="00041E41" w:rsidRDefault="00294A11" w14:paraId="5A6E6AA8" w14:textId="5EDCE11F">
            <w:pPr>
              <w:pStyle w:val="BText"/>
              <w:spacing w:before="120"/>
              <w:jc w:val="left"/>
              <w:rPr>
                <w:rFonts w:eastAsia="Times New Roman"/>
                <w:color w:val="000000"/>
              </w:rPr>
            </w:pPr>
            <w:r w:rsidRPr="00E00885">
              <w:rPr>
                <w:rFonts w:eastAsia="Times New Roman"/>
                <w:color w:val="000000"/>
              </w:rPr>
              <w:t>The Company and the Investor agree to treat this term sheet and information related to its content confidentially and not to distribute or disclose its existence or contents to any other persons without the prior consent of the other party, except as required to its shareholders and professional advisors.</w:t>
            </w:r>
          </w:p>
        </w:tc>
      </w:tr>
      <w:tr w:rsidR="00294A11" w:rsidTr="00041E41" w14:paraId="3D1103C7" w14:textId="77777777">
        <w:tc>
          <w:tcPr>
            <w:tcW w:w="1335" w:type="pct"/>
          </w:tcPr>
          <w:p w:rsidRPr="006B6F36" w:rsidR="00294A11" w:rsidP="00041E41" w:rsidRDefault="00294A11" w14:paraId="4809F509" w14:textId="50CACA79">
            <w:pPr>
              <w:pStyle w:val="BText"/>
              <w:spacing w:before="120"/>
              <w:jc w:val="left"/>
              <w:rPr>
                <w:b/>
                <w:bCs/>
              </w:rPr>
            </w:pPr>
            <w:r w:rsidRPr="006B6F36">
              <w:rPr>
                <w:b/>
                <w:bCs/>
              </w:rPr>
              <w:t>Costs</w:t>
            </w:r>
          </w:p>
        </w:tc>
        <w:tc>
          <w:tcPr>
            <w:tcW w:w="3665" w:type="pct"/>
          </w:tcPr>
          <w:p w:rsidRPr="00E00885" w:rsidR="00294A11" w:rsidP="00041E41" w:rsidRDefault="00294A11" w14:paraId="410A23ED" w14:textId="59628618">
            <w:pPr>
              <w:pStyle w:val="BText"/>
              <w:spacing w:before="120"/>
              <w:jc w:val="left"/>
            </w:pPr>
            <w:r w:rsidRPr="00E00885">
              <w:t xml:space="preserve">[Each of the Investor, Founder[s] and the Company shall bear its own costs incurred in respect of the conclusion of this term sheet and the Convertible Loan Agreement. / The Company and the Founder[s] shall bear its own costs incurred in respect of the conclusion of this term sheet and the Convertible Loan Agreement and the Company shall reimburse the Investor after the provision of the Loan reasonable legal fees and costs incurred by the Investor in respect of the conclusion of this term sheet and the Convertible Loan Agreement up to a maximum aggregate amount of [EUR/CZK </w:t>
            </w:r>
            <w:r w:rsidRPr="003765BB" w:rsidR="003765BB">
              <w:rPr>
                <w:lang w:val="en-US"/>
              </w:rPr>
              <w:sym w:font="Wingdings" w:char="F06C"/>
            </w:r>
            <w:r w:rsidRPr="00E00885">
              <w:t>]].</w:t>
            </w:r>
          </w:p>
        </w:tc>
      </w:tr>
      <w:tr w:rsidR="00294A11" w:rsidTr="00041E41" w14:paraId="4154307D" w14:textId="77777777">
        <w:tc>
          <w:tcPr>
            <w:tcW w:w="1335" w:type="pct"/>
          </w:tcPr>
          <w:p w:rsidRPr="006B6F36" w:rsidR="00294A11" w:rsidP="00041E41" w:rsidRDefault="00294A11" w14:paraId="5932BDC4" w14:textId="2FA09325">
            <w:pPr>
              <w:pStyle w:val="BText"/>
              <w:spacing w:before="120"/>
              <w:jc w:val="left"/>
              <w:rPr>
                <w:b/>
                <w:bCs/>
              </w:rPr>
            </w:pPr>
            <w:r w:rsidRPr="006B6F36">
              <w:rPr>
                <w:b/>
                <w:bCs/>
              </w:rPr>
              <w:t>Non-binding effect</w:t>
            </w:r>
          </w:p>
        </w:tc>
        <w:tc>
          <w:tcPr>
            <w:tcW w:w="3665" w:type="pct"/>
          </w:tcPr>
          <w:p w:rsidRPr="00E00885" w:rsidR="00294A11" w:rsidP="00041E41" w:rsidRDefault="00294A11" w14:paraId="0AA6F00F" w14:textId="6648D02A">
            <w:pPr>
              <w:pStyle w:val="BText"/>
              <w:spacing w:before="120"/>
              <w:jc w:val="left"/>
            </w:pPr>
            <w:r w:rsidRPr="00E00885">
              <w:t>This term sheet is intended solely as a basis for further discussion and does not constitute legally binding obligations except for the terms “</w:t>
            </w:r>
            <w:r w:rsidRPr="00E00885">
              <w:rPr>
                <w:b/>
              </w:rPr>
              <w:t>Confidentiality</w:t>
            </w:r>
            <w:r w:rsidRPr="00E00885">
              <w:t>”, “</w:t>
            </w:r>
            <w:r w:rsidRPr="00E00885">
              <w:rPr>
                <w:b/>
              </w:rPr>
              <w:t>Costs</w:t>
            </w:r>
            <w:r w:rsidRPr="00E00885">
              <w:t>” and “</w:t>
            </w:r>
            <w:r w:rsidRPr="00E00885">
              <w:rPr>
                <w:b/>
              </w:rPr>
              <w:t>Governing law and disputes</w:t>
            </w:r>
            <w:r w:rsidRPr="00E00885">
              <w:t>” which are intended to be legally binding on the Company, the Founder[s], and the Investor.</w:t>
            </w:r>
          </w:p>
        </w:tc>
      </w:tr>
      <w:tr w:rsidR="00294A11" w:rsidTr="00041E41" w14:paraId="2A3370EE" w14:textId="77777777">
        <w:tc>
          <w:tcPr>
            <w:tcW w:w="1335" w:type="pct"/>
          </w:tcPr>
          <w:p w:rsidRPr="00E00885" w:rsidR="00294A11" w:rsidP="00041E41" w:rsidRDefault="00294A11" w14:paraId="3C49A47B" w14:textId="12802CF6">
            <w:pPr>
              <w:pStyle w:val="BText"/>
              <w:spacing w:before="120"/>
              <w:jc w:val="left"/>
              <w:rPr>
                <w:rFonts w:eastAsia="Times New Roman"/>
                <w:b/>
                <w:color w:val="000000"/>
              </w:rPr>
            </w:pPr>
            <w:r w:rsidRPr="00E00885">
              <w:rPr>
                <w:rFonts w:eastAsia="Times New Roman"/>
                <w:b/>
                <w:color w:val="000000"/>
              </w:rPr>
              <w:t>Governing law and disputes</w:t>
            </w:r>
          </w:p>
        </w:tc>
        <w:tc>
          <w:tcPr>
            <w:tcW w:w="3665" w:type="pct"/>
          </w:tcPr>
          <w:p w:rsidR="00525630" w:rsidP="00041E41" w:rsidRDefault="00294A11" w14:paraId="2D89F381" w14:textId="77777777">
            <w:pPr>
              <w:pStyle w:val="BText"/>
              <w:spacing w:before="120"/>
              <w:jc w:val="left"/>
            </w:pPr>
            <w:r w:rsidRPr="00E00885">
              <w:t xml:space="preserve">This term sheet and the Convertible Loan Agreement shall be governed and construed in accordance with the laws of the Czech Republic. </w:t>
            </w:r>
          </w:p>
          <w:p w:rsidR="00294A11" w:rsidP="00041E41" w:rsidRDefault="00294A11" w14:paraId="3AD9ED6A" w14:textId="77777777">
            <w:pPr>
              <w:pStyle w:val="BText"/>
              <w:spacing w:before="120"/>
              <w:jc w:val="left"/>
            </w:pPr>
            <w:r w:rsidRPr="00525630">
              <w:t>Any dispute arising out of this term sheet and the Convertible Loan Agreement will be finally decided by the Czech courts.</w:t>
            </w:r>
            <w:r w:rsidRPr="00E00885">
              <w:rPr>
                <w:highlight w:val="lightGray"/>
                <w:vertAlign w:val="superscript"/>
              </w:rPr>
            </w:r>
          </w:p>
          <w:p w:rsidRPr="00E00885" w:rsidR="00007FD2" w:rsidP="00041E41" w:rsidRDefault="00007FD2" w14:paraId="7037DD58" w14:textId="46B1C972">
            <w:pPr>
              <w:pStyle w:val="BText"/>
              <w:spacing w:before="120"/>
              <w:jc w:val="left"/>
            </w:pPr>
          </w:p>
        </w:tc>
      </w:tr>
    </w:tbl>
    <w:p w:rsidR="004254CF" w:rsidP="00041E41" w:rsidRDefault="004254CF" w14:paraId="5EA1D38A" w14:textId="77777777">
      <w:pPr>
        <w:pStyle w:val="BText"/>
      </w:pPr>
    </w:p>
    <w:sectPr w:rsidR="004254CF" w:rsidSect="00531BB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5B7A" w:rsidP="0035233D" w:rsidRDefault="007D5B7A" w14:paraId="53E2A29C" w14:textId="77777777">
      <w:r>
        <w:separator/>
      </w:r>
    </w:p>
  </w:endnote>
  <w:endnote w:type="continuationSeparator" w:id="0">
    <w:p w:rsidR="007D5B7A" w:rsidP="0035233D" w:rsidRDefault="007D5B7A" w14:paraId="6437454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4D91" w:rsidRDefault="00494D91" w14:paraId="72A8B2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4E42" w:rsidR="00CC25B0" w:rsidP="00531BBD" w:rsidRDefault="00CC25B0" w14:paraId="04C5BAEC" w14:textId="77777777">
    <w:pPr>
      <w:pStyle w:val="Footer"/>
      <w:jc w:val="center"/>
      <w:rPr>
        <w:sz w:val="16"/>
      </w:rPr>
    </w:pPr>
    <w:r w:rsidRPr="00C64E42">
      <w:rPr>
        <w:sz w:val="16"/>
      </w:rPr>
      <w:fldChar w:fldCharType="begin"/>
    </w:r>
    <w:r w:rsidRPr="00C64E42">
      <w:rPr>
        <w:sz w:val="16"/>
      </w:rPr>
      <w:instrText xml:space="preserve"> PAGE </w:instrText>
    </w:r>
    <w:r w:rsidRPr="00C64E42">
      <w:rPr>
        <w:sz w:val="16"/>
      </w:rPr>
      <w:fldChar w:fldCharType="separate"/>
    </w:r>
    <w:r w:rsidR="00581D61">
      <w:rPr>
        <w:noProof/>
        <w:sz w:val="16"/>
      </w:rPr>
      <w:t>1</w:t>
    </w:r>
    <w:r w:rsidRPr="00C64E42">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4E42" w:rsidR="00CC25B0" w:rsidP="00531BBD" w:rsidRDefault="00CC25B0" w14:paraId="3EC96AFE" w14:textId="77777777">
    <w:pPr>
      <w:pStyle w:val="Footer"/>
      <w:jc w:val="center"/>
      <w:rPr>
        <w:sz w:val="16"/>
      </w:rPr>
    </w:pPr>
    <w:r w:rsidRPr="00C64E42">
      <w:rPr>
        <w:sz w:val="16"/>
      </w:rPr>
      <w:fldChar w:fldCharType="begin"/>
    </w:r>
    <w:r w:rsidRPr="00C64E42">
      <w:rPr>
        <w:sz w:val="16"/>
      </w:rPr>
      <w:instrText xml:space="preserve"> PAGE </w:instrText>
    </w:r>
    <w:r w:rsidRPr="00C64E42">
      <w:rPr>
        <w:sz w:val="16"/>
      </w:rPr>
      <w:fldChar w:fldCharType="separate"/>
    </w:r>
    <w:r w:rsidR="00581D61">
      <w:rPr>
        <w:noProof/>
        <w:sz w:val="16"/>
      </w:rPr>
      <w:t>1</w:t>
    </w:r>
    <w:r w:rsidRPr="00C64E42">
      <w:rPr>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4D91" w:rsidRDefault="00494D91" w14:paraId="17B6310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4D91" w:rsidRDefault="00494D91" w14:paraId="4DDC3F53"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6F36" w:rsidP="00E70589" w:rsidRDefault="00E70589" w14:paraId="108CFA63" w14:textId="410507DF">
    <w:pPr>
      <w:pStyle w:val="Header"/>
      <w:jc w:val="right"/>
    </w:pPr>
    <w:r w:rsidRPr="00D96B11">
      <w:rPr>
        <w:noProof/>
        <w:lang w:val="cs-CZ" w:eastAsia="cs-CZ"/>
      </w:rPr>
      <w:drawing>
        <wp:inline distT="0" distB="0" distL="0" distR="0" wp14:anchorId="790BDFCF" wp14:editId="5795F452">
          <wp:extent cx="1889185" cy="530426"/>
          <wp:effectExtent l="0" t="0" r="0" b="0"/>
          <wp:docPr id="2"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ichtoa\AppData\Local\Microsoft\Windows\INetCache\Content.Outlook\Q4R5RG16\csd_rg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065" cy="557346"/>
                  </a:xfrm>
                  <a:prstGeom prst="rect">
                    <a:avLst/>
                  </a:prstGeom>
                  <a:noFill/>
                  <a:ln>
                    <a:noFill/>
                  </a:ln>
                </pic:spPr>
              </pic:pic>
            </a:graphicData>
          </a:graphic>
        </wp:inline>
      </w:drawing>
    </w:r>
  </w:p>
  <w:p w:rsidRPr="0015503A" w:rsidR="00E70589" w:rsidP="00E70589" w:rsidRDefault="00E70589" w14:paraId="05724148"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21E"/>
    <w:multiLevelType w:val="multilevel"/>
    <w:tmpl w:val="D104268C"/>
    <w:lvl w:ilvl="0">
      <w:start w:val="1"/>
      <w:numFmt w:val="decimal"/>
      <w:pStyle w:val="OutNum1"/>
      <w:lvlText w:val="%1."/>
      <w:lvlJc w:val="left"/>
      <w:pPr>
        <w:tabs>
          <w:tab w:val="num" w:pos="720"/>
        </w:tabs>
        <w:ind w:left="720" w:hanging="720"/>
      </w:pPr>
      <w:rPr>
        <w:rFonts w:hint="default"/>
        <w:caps/>
      </w:rPr>
    </w:lvl>
    <w:lvl w:ilvl="1">
      <w:start w:val="1"/>
      <w:numFmt w:val="decimal"/>
      <w:pStyle w:val="OutNum2"/>
      <w:lvlText w:val="%1.%2"/>
      <w:lvlJc w:val="left"/>
      <w:pPr>
        <w:tabs>
          <w:tab w:val="num" w:pos="720"/>
        </w:tabs>
        <w:ind w:left="720" w:hanging="720"/>
      </w:pPr>
      <w:rPr>
        <w:rFonts w:hint="default"/>
      </w:rPr>
    </w:lvl>
    <w:lvl w:ilvl="2">
      <w:start w:val="1"/>
      <w:numFmt w:val="lowerLetter"/>
      <w:pStyle w:val="OutNum3"/>
      <w:lvlText w:val="(%3)"/>
      <w:lvlJc w:val="left"/>
      <w:pPr>
        <w:tabs>
          <w:tab w:val="num" w:pos="1440"/>
        </w:tabs>
        <w:ind w:left="1440" w:hanging="720"/>
      </w:pPr>
      <w:rPr>
        <w:rFonts w:hint="default"/>
      </w:rPr>
    </w:lvl>
    <w:lvl w:ilvl="3">
      <w:start w:val="1"/>
      <w:numFmt w:val="lowerRoman"/>
      <w:pStyle w:val="OutNum4"/>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1B64F6"/>
    <w:multiLevelType w:val="multilevel"/>
    <w:tmpl w:val="B0204AE8"/>
    <w:lvl w:ilvl="0">
      <w:start w:val="1"/>
      <w:numFmt w:val="decimal"/>
      <w:pStyle w:val="SchdH"/>
      <w:suff w:val="nothing"/>
      <w:lvlText w:val="Schedule %1"/>
      <w:lvlJc w:val="left"/>
      <w:pPr>
        <w:ind w:left="0" w:firstLine="0"/>
      </w:pPr>
      <w:rPr>
        <w:rFonts w:hint="default"/>
        <w:caps/>
      </w:rPr>
    </w:lvl>
    <w:lvl w:ilvl="1">
      <w:start w:val="1"/>
      <w:numFmt w:val="none"/>
      <w:pStyle w:val="SchdT"/>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BB2513"/>
    <w:multiLevelType w:val="multilevel"/>
    <w:tmpl w:val="8564DA66"/>
    <w:name w:val="TOC332"/>
    <w:lvl w:ilvl="0">
      <w:start w:val="1"/>
      <w:numFmt w:val="decimal"/>
      <w:pStyle w:val="TOC4"/>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7E26B3"/>
    <w:multiLevelType w:val="multilevel"/>
    <w:tmpl w:val="BF303CB4"/>
    <w:name w:val="TOCss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1D35B2"/>
    <w:multiLevelType w:val="multilevel"/>
    <w:tmpl w:val="54103D50"/>
    <w:lvl w:ilvl="0">
      <w:start w:val="1"/>
      <w:numFmt w:val="decimal"/>
      <w:lvlText w:val=""/>
      <w:lvlJc w:val="left"/>
      <w:pPr>
        <w:ind w:left="720" w:firstLine="0"/>
      </w:pPr>
    </w:lvl>
    <w:lvl w:ilvl="1">
      <w:start w:val="1"/>
      <w:numFmt w:val="lowerLetter"/>
      <w:lvlText w:val="(%2)"/>
      <w:lvlJc w:val="left"/>
      <w:pPr>
        <w:ind w:left="144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A246F8"/>
    <w:multiLevelType w:val="multilevel"/>
    <w:tmpl w:val="3ABEE938"/>
    <w:lvl w:ilvl="0">
      <w:start w:val="1"/>
      <w:numFmt w:val="decimal"/>
      <w:pStyle w:val="Num1"/>
      <w:lvlText w:val="(%1)"/>
      <w:lvlJc w:val="left"/>
      <w:pPr>
        <w:tabs>
          <w:tab w:val="num" w:pos="720"/>
        </w:tabs>
        <w:ind w:left="720" w:hanging="720"/>
      </w:pPr>
      <w:rPr>
        <w:rFonts w:hint="default"/>
      </w:rPr>
    </w:lvl>
    <w:lvl w:ilvl="1">
      <w:start w:val="1"/>
      <w:numFmt w:val="upperLetter"/>
      <w:pStyle w:val="Num2"/>
      <w:lvlText w:val="(%2)"/>
      <w:lvlJc w:val="left"/>
      <w:pPr>
        <w:tabs>
          <w:tab w:val="num" w:pos="72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1B091B"/>
    <w:multiLevelType w:val="multilevel"/>
    <w:tmpl w:val="1C80C8B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FA03C15"/>
    <w:multiLevelType w:val="multilevel"/>
    <w:tmpl w:val="A03A778C"/>
    <w:name w:val="TOC3"/>
    <w:lvl w:ilvl="0">
      <w:start w:val="1"/>
      <w:numFmt w:val="decimal"/>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090E99"/>
    <w:multiLevelType w:val="multilevel"/>
    <w:tmpl w:val="88188E50"/>
    <w:name w:val="SchdNums"/>
    <w:lvl w:ilvl="0">
      <w:start w:val="1"/>
      <w:numFmt w:val="decimal"/>
      <w:pStyle w:val="SchdNum1"/>
      <w:lvlText w:val="%1."/>
      <w:lvlJc w:val="left"/>
      <w:pPr>
        <w:tabs>
          <w:tab w:val="num" w:pos="720"/>
        </w:tabs>
        <w:ind w:left="720" w:hanging="720"/>
      </w:pPr>
      <w:rPr>
        <w:rFonts w:hint="default"/>
        <w:caps/>
      </w:rPr>
    </w:lvl>
    <w:lvl w:ilvl="1">
      <w:start w:val="1"/>
      <w:numFmt w:val="decimal"/>
      <w:pStyle w:val="SchdNum2"/>
      <w:lvlText w:val="%1.%2"/>
      <w:lvlJc w:val="left"/>
      <w:pPr>
        <w:tabs>
          <w:tab w:val="num" w:pos="720"/>
        </w:tabs>
        <w:ind w:left="720" w:hanging="720"/>
      </w:pPr>
      <w:rPr>
        <w:rFonts w:hint="default"/>
        <w:b/>
        <w:bCs/>
      </w:rPr>
    </w:lvl>
    <w:lvl w:ilvl="2">
      <w:start w:val="1"/>
      <w:numFmt w:val="decimal"/>
      <w:pStyle w:val="SchdNum3"/>
      <w:lvlText w:val="%3."/>
      <w:lvlJc w:val="left"/>
      <w:pPr>
        <w:tabs>
          <w:tab w:val="num" w:pos="720"/>
        </w:tabs>
        <w:ind w:left="720" w:hanging="720"/>
      </w:pPr>
      <w:rPr>
        <w:rFonts w:hint="default"/>
      </w:rPr>
    </w:lvl>
    <w:lvl w:ilvl="3">
      <w:start w:val="1"/>
      <w:numFmt w:val="lowerLetter"/>
      <w:pStyle w:val="SchdNum4"/>
      <w:lvlText w:val="(%4)"/>
      <w:lvlJc w:val="left"/>
      <w:pPr>
        <w:tabs>
          <w:tab w:val="num" w:pos="1440"/>
        </w:tabs>
        <w:ind w:left="144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3E2A23"/>
    <w:multiLevelType w:val="multilevel"/>
    <w:tmpl w:val="7EECC8F4"/>
    <w:lvl w:ilvl="0">
      <w:start w:val="1"/>
      <w:numFmt w:val="none"/>
      <w:pStyle w:val="DefText"/>
      <w:suff w:val="nothing"/>
      <w:lvlText w:val=""/>
      <w:lvlJc w:val="left"/>
      <w:pPr>
        <w:ind w:left="720" w:firstLine="0"/>
      </w:pPr>
      <w:rPr>
        <w:rFonts w:hint="default"/>
      </w:rPr>
    </w:lvl>
    <w:lvl w:ilvl="1">
      <w:start w:val="1"/>
      <w:numFmt w:val="lowerLetter"/>
      <w:pStyle w:val="DefNum1"/>
      <w:lvlText w:val="(%2)"/>
      <w:lvlJc w:val="left"/>
      <w:pPr>
        <w:tabs>
          <w:tab w:val="num" w:pos="1440"/>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89E0B27"/>
    <w:multiLevelType w:val="multilevel"/>
    <w:tmpl w:val="5E880AFC"/>
    <w:name w:val="TOC33"/>
    <w:lvl w:ilvl="0">
      <w:start w:val="1"/>
      <w:numFmt w:val="decimal"/>
      <w:pStyle w:val="TOC3"/>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91B1737"/>
    <w:multiLevelType w:val="multilevel"/>
    <w:tmpl w:val="5DD8BF16"/>
    <w:name w:val="TOCss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90892972">
    <w:abstractNumId w:val="9"/>
  </w:num>
  <w:num w:numId="2" w16cid:durableId="256137491">
    <w:abstractNumId w:val="9"/>
  </w:num>
  <w:num w:numId="3" w16cid:durableId="1564365336">
    <w:abstractNumId w:val="5"/>
  </w:num>
  <w:num w:numId="4" w16cid:durableId="387999287">
    <w:abstractNumId w:val="5"/>
  </w:num>
  <w:num w:numId="5" w16cid:durableId="1393191907">
    <w:abstractNumId w:val="0"/>
  </w:num>
  <w:num w:numId="6" w16cid:durableId="1326855594">
    <w:abstractNumId w:val="0"/>
  </w:num>
  <w:num w:numId="7" w16cid:durableId="1011417455">
    <w:abstractNumId w:val="0"/>
  </w:num>
  <w:num w:numId="8" w16cid:durableId="1842818368">
    <w:abstractNumId w:val="0"/>
  </w:num>
  <w:num w:numId="9" w16cid:durableId="748356601">
    <w:abstractNumId w:val="1"/>
  </w:num>
  <w:num w:numId="10" w16cid:durableId="542793657">
    <w:abstractNumId w:val="8"/>
  </w:num>
  <w:num w:numId="11" w16cid:durableId="1703049712">
    <w:abstractNumId w:val="8"/>
  </w:num>
  <w:num w:numId="12" w16cid:durableId="820076280">
    <w:abstractNumId w:val="1"/>
  </w:num>
  <w:num w:numId="13" w16cid:durableId="680937314">
    <w:abstractNumId w:val="3"/>
  </w:num>
  <w:num w:numId="14" w16cid:durableId="1057126961">
    <w:abstractNumId w:val="11"/>
  </w:num>
  <w:num w:numId="15" w16cid:durableId="1153377132">
    <w:abstractNumId w:val="7"/>
  </w:num>
  <w:num w:numId="16" w16cid:durableId="1416324340">
    <w:abstractNumId w:val="10"/>
  </w:num>
  <w:num w:numId="17" w16cid:durableId="1951281256">
    <w:abstractNumId w:val="2"/>
  </w:num>
  <w:num w:numId="18" w16cid:durableId="1385787212">
    <w:abstractNumId w:val="5"/>
  </w:num>
  <w:num w:numId="19" w16cid:durableId="306790390">
    <w:abstractNumId w:val="0"/>
  </w:num>
  <w:num w:numId="20" w16cid:durableId="314719712">
    <w:abstractNumId w:val="0"/>
  </w:num>
  <w:num w:numId="21" w16cid:durableId="937641472">
    <w:abstractNumId w:val="0"/>
  </w:num>
  <w:num w:numId="22" w16cid:durableId="1928078201">
    <w:abstractNumId w:val="0"/>
  </w:num>
  <w:num w:numId="23" w16cid:durableId="1271429940">
    <w:abstractNumId w:val="0"/>
  </w:num>
  <w:num w:numId="24" w16cid:durableId="1477258032">
    <w:abstractNumId w:val="0"/>
  </w:num>
  <w:num w:numId="25" w16cid:durableId="1036152769">
    <w:abstractNumId w:val="0"/>
  </w:num>
  <w:num w:numId="26" w16cid:durableId="1585795512">
    <w:abstractNumId w:val="0"/>
  </w:num>
  <w:num w:numId="27" w16cid:durableId="939292272">
    <w:abstractNumId w:val="0"/>
  </w:num>
  <w:num w:numId="28" w16cid:durableId="1853102162">
    <w:abstractNumId w:val="0"/>
  </w:num>
  <w:num w:numId="29" w16cid:durableId="911280530">
    <w:abstractNumId w:val="0"/>
  </w:num>
  <w:num w:numId="30" w16cid:durableId="970132327">
    <w:abstractNumId w:val="0"/>
  </w:num>
  <w:num w:numId="31" w16cid:durableId="1518083839">
    <w:abstractNumId w:val="0"/>
  </w:num>
  <w:num w:numId="32" w16cid:durableId="1306471061">
    <w:abstractNumId w:val="0"/>
  </w:num>
  <w:num w:numId="33" w16cid:durableId="911237475">
    <w:abstractNumId w:val="0"/>
  </w:num>
  <w:num w:numId="34" w16cid:durableId="1088235919">
    <w:abstractNumId w:val="0"/>
  </w:num>
  <w:num w:numId="35" w16cid:durableId="1254633215">
    <w:abstractNumId w:val="8"/>
  </w:num>
  <w:num w:numId="36" w16cid:durableId="347223748">
    <w:abstractNumId w:val="8"/>
  </w:num>
  <w:num w:numId="37" w16cid:durableId="1058555713">
    <w:abstractNumId w:val="8"/>
  </w:num>
  <w:num w:numId="38" w16cid:durableId="1052848205">
    <w:abstractNumId w:val="4"/>
  </w:num>
  <w:num w:numId="39" w16cid:durableId="927693691">
    <w:abstractNumId w:val="0"/>
  </w:num>
  <w:num w:numId="40" w16cid:durableId="848103995">
    <w:abstractNumId w:val="6"/>
  </w:num>
  <w:num w:numId="41" w16cid:durableId="4227301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199681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35553547">
    <w:abstractNumId w:val="0"/>
  </w:num>
  <w:num w:numId="44" w16cid:durableId="541749832">
    <w:abstractNumId w:val="0"/>
  </w:num>
  <w:num w:numId="45" w16cid:durableId="1346790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642294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CC"/>
    <w:rsid w:val="00005B04"/>
    <w:rsid w:val="00007FD2"/>
    <w:rsid w:val="000204B0"/>
    <w:rsid w:val="00023E3B"/>
    <w:rsid w:val="000400A8"/>
    <w:rsid w:val="00040F37"/>
    <w:rsid w:val="00041E41"/>
    <w:rsid w:val="00045D0E"/>
    <w:rsid w:val="000779D0"/>
    <w:rsid w:val="00094250"/>
    <w:rsid w:val="000E520A"/>
    <w:rsid w:val="000F0F42"/>
    <w:rsid w:val="000F4B5C"/>
    <w:rsid w:val="000F5091"/>
    <w:rsid w:val="00107E65"/>
    <w:rsid w:val="001354CC"/>
    <w:rsid w:val="00140324"/>
    <w:rsid w:val="00142E79"/>
    <w:rsid w:val="00145E4B"/>
    <w:rsid w:val="00147FD0"/>
    <w:rsid w:val="00151C74"/>
    <w:rsid w:val="0015503A"/>
    <w:rsid w:val="00156056"/>
    <w:rsid w:val="001725EB"/>
    <w:rsid w:val="001B1126"/>
    <w:rsid w:val="001B1F68"/>
    <w:rsid w:val="001D46C8"/>
    <w:rsid w:val="00201C36"/>
    <w:rsid w:val="002270D5"/>
    <w:rsid w:val="00244AFF"/>
    <w:rsid w:val="0027713B"/>
    <w:rsid w:val="00294A11"/>
    <w:rsid w:val="00295930"/>
    <w:rsid w:val="002A2805"/>
    <w:rsid w:val="002A3A2F"/>
    <w:rsid w:val="002A4408"/>
    <w:rsid w:val="002C0A72"/>
    <w:rsid w:val="002C332B"/>
    <w:rsid w:val="002C799C"/>
    <w:rsid w:val="002D3270"/>
    <w:rsid w:val="002D4B2E"/>
    <w:rsid w:val="002D5DF7"/>
    <w:rsid w:val="002E5EF0"/>
    <w:rsid w:val="002E7E73"/>
    <w:rsid w:val="003212C2"/>
    <w:rsid w:val="003317FF"/>
    <w:rsid w:val="0035233D"/>
    <w:rsid w:val="00353D6A"/>
    <w:rsid w:val="003765BB"/>
    <w:rsid w:val="003A464E"/>
    <w:rsid w:val="003E4362"/>
    <w:rsid w:val="00402393"/>
    <w:rsid w:val="00404C0C"/>
    <w:rsid w:val="004254CF"/>
    <w:rsid w:val="004418E3"/>
    <w:rsid w:val="004459F3"/>
    <w:rsid w:val="00460166"/>
    <w:rsid w:val="00463701"/>
    <w:rsid w:val="00470C89"/>
    <w:rsid w:val="004764AC"/>
    <w:rsid w:val="0049308A"/>
    <w:rsid w:val="00494D91"/>
    <w:rsid w:val="004A2A65"/>
    <w:rsid w:val="004A66FE"/>
    <w:rsid w:val="004E1A5C"/>
    <w:rsid w:val="00500DC0"/>
    <w:rsid w:val="005043B5"/>
    <w:rsid w:val="005211E9"/>
    <w:rsid w:val="00524338"/>
    <w:rsid w:val="00525630"/>
    <w:rsid w:val="00526546"/>
    <w:rsid w:val="00531BBD"/>
    <w:rsid w:val="0053287D"/>
    <w:rsid w:val="00536A5F"/>
    <w:rsid w:val="0054385F"/>
    <w:rsid w:val="005556CE"/>
    <w:rsid w:val="00555C97"/>
    <w:rsid w:val="005562D6"/>
    <w:rsid w:val="005675B9"/>
    <w:rsid w:val="00571521"/>
    <w:rsid w:val="00581D61"/>
    <w:rsid w:val="00591CA6"/>
    <w:rsid w:val="005A6B9F"/>
    <w:rsid w:val="005B30A0"/>
    <w:rsid w:val="005D740A"/>
    <w:rsid w:val="00600FD1"/>
    <w:rsid w:val="0060185C"/>
    <w:rsid w:val="0062163B"/>
    <w:rsid w:val="00633855"/>
    <w:rsid w:val="0063454C"/>
    <w:rsid w:val="00646D3D"/>
    <w:rsid w:val="00663102"/>
    <w:rsid w:val="00670D7E"/>
    <w:rsid w:val="0067289D"/>
    <w:rsid w:val="00674389"/>
    <w:rsid w:val="00674924"/>
    <w:rsid w:val="00685FAB"/>
    <w:rsid w:val="006B6F36"/>
    <w:rsid w:val="006D0893"/>
    <w:rsid w:val="006F3EDA"/>
    <w:rsid w:val="00723B5B"/>
    <w:rsid w:val="00730F49"/>
    <w:rsid w:val="0074120F"/>
    <w:rsid w:val="00746DE1"/>
    <w:rsid w:val="00761159"/>
    <w:rsid w:val="00771FD6"/>
    <w:rsid w:val="0077283E"/>
    <w:rsid w:val="00775D52"/>
    <w:rsid w:val="00785DC1"/>
    <w:rsid w:val="0079068B"/>
    <w:rsid w:val="007935AF"/>
    <w:rsid w:val="007D5B7A"/>
    <w:rsid w:val="007E52BE"/>
    <w:rsid w:val="007E5404"/>
    <w:rsid w:val="00802057"/>
    <w:rsid w:val="00814F52"/>
    <w:rsid w:val="008506CF"/>
    <w:rsid w:val="00857442"/>
    <w:rsid w:val="00880E62"/>
    <w:rsid w:val="008815BB"/>
    <w:rsid w:val="00887747"/>
    <w:rsid w:val="008911AA"/>
    <w:rsid w:val="008A2901"/>
    <w:rsid w:val="008B36E7"/>
    <w:rsid w:val="008C44F6"/>
    <w:rsid w:val="008E018F"/>
    <w:rsid w:val="008F424E"/>
    <w:rsid w:val="00933FF2"/>
    <w:rsid w:val="00940F78"/>
    <w:rsid w:val="009528C5"/>
    <w:rsid w:val="00955A18"/>
    <w:rsid w:val="00961E1D"/>
    <w:rsid w:val="00967049"/>
    <w:rsid w:val="009768CE"/>
    <w:rsid w:val="00981F8B"/>
    <w:rsid w:val="00992942"/>
    <w:rsid w:val="009C3ABA"/>
    <w:rsid w:val="009F2923"/>
    <w:rsid w:val="00A039F3"/>
    <w:rsid w:val="00A06294"/>
    <w:rsid w:val="00A270FA"/>
    <w:rsid w:val="00A85E97"/>
    <w:rsid w:val="00A86FC1"/>
    <w:rsid w:val="00AA051A"/>
    <w:rsid w:val="00AB2B70"/>
    <w:rsid w:val="00AB4E0D"/>
    <w:rsid w:val="00AC4E5A"/>
    <w:rsid w:val="00AD33B7"/>
    <w:rsid w:val="00AE3703"/>
    <w:rsid w:val="00B04FC7"/>
    <w:rsid w:val="00B168CC"/>
    <w:rsid w:val="00B21A7A"/>
    <w:rsid w:val="00B24F6C"/>
    <w:rsid w:val="00B375FF"/>
    <w:rsid w:val="00B45F14"/>
    <w:rsid w:val="00B648B4"/>
    <w:rsid w:val="00B652C2"/>
    <w:rsid w:val="00B7388C"/>
    <w:rsid w:val="00B751DF"/>
    <w:rsid w:val="00B97B21"/>
    <w:rsid w:val="00BA141E"/>
    <w:rsid w:val="00BD71F9"/>
    <w:rsid w:val="00C00E8D"/>
    <w:rsid w:val="00C0680F"/>
    <w:rsid w:val="00C204ED"/>
    <w:rsid w:val="00C4041D"/>
    <w:rsid w:val="00C5697E"/>
    <w:rsid w:val="00C6382C"/>
    <w:rsid w:val="00C64E42"/>
    <w:rsid w:val="00C709F7"/>
    <w:rsid w:val="00C721E5"/>
    <w:rsid w:val="00C74443"/>
    <w:rsid w:val="00C75DF0"/>
    <w:rsid w:val="00C969C2"/>
    <w:rsid w:val="00CB3AD4"/>
    <w:rsid w:val="00CB5AC8"/>
    <w:rsid w:val="00CC074D"/>
    <w:rsid w:val="00CC25B0"/>
    <w:rsid w:val="00CE6F40"/>
    <w:rsid w:val="00D07FDA"/>
    <w:rsid w:val="00D22993"/>
    <w:rsid w:val="00D31DAF"/>
    <w:rsid w:val="00D528F6"/>
    <w:rsid w:val="00D81A3A"/>
    <w:rsid w:val="00D90DBA"/>
    <w:rsid w:val="00D94EC7"/>
    <w:rsid w:val="00DE58A0"/>
    <w:rsid w:val="00DF301D"/>
    <w:rsid w:val="00E40CEF"/>
    <w:rsid w:val="00E41797"/>
    <w:rsid w:val="00E453D1"/>
    <w:rsid w:val="00E536AC"/>
    <w:rsid w:val="00E62B30"/>
    <w:rsid w:val="00E64AD8"/>
    <w:rsid w:val="00E70589"/>
    <w:rsid w:val="00E8612B"/>
    <w:rsid w:val="00EA5D57"/>
    <w:rsid w:val="00ED250B"/>
    <w:rsid w:val="00ED38DD"/>
    <w:rsid w:val="00EF3955"/>
    <w:rsid w:val="00F015B6"/>
    <w:rsid w:val="00F24E42"/>
    <w:rsid w:val="00F309F0"/>
    <w:rsid w:val="00F4344C"/>
    <w:rsid w:val="00F468E3"/>
    <w:rsid w:val="00F52D2B"/>
    <w:rsid w:val="00F611F5"/>
    <w:rsid w:val="00F66402"/>
    <w:rsid w:val="00F70E05"/>
    <w:rsid w:val="00F74406"/>
    <w:rsid w:val="00F7551A"/>
    <w:rsid w:val="00F805B2"/>
    <w:rsid w:val="00F847A0"/>
    <w:rsid w:val="00FC01CA"/>
    <w:rsid w:val="00FC52A8"/>
    <w:rsid w:val="00FD6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D3C49"/>
  <w15:docId w15:val="{829A8936-2BC6-410B-ADB4-FACF0BAD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semiHidden="1" w:qFormat="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6F40"/>
    <w:pPr>
      <w:spacing w:after="0" w:line="240" w:lineRule="auto"/>
      <w:jc w:val="both"/>
    </w:pPr>
    <w:rPr>
      <w:rFonts w:ascii="Times New Roman" w:hAnsi="Times New Roman" w:cs="Times New Roman"/>
    </w:rPr>
  </w:style>
  <w:style w:type="paragraph" w:styleId="Heading1">
    <w:name w:val="heading 1"/>
    <w:basedOn w:val="Normal"/>
    <w:next w:val="Normal"/>
    <w:link w:val="Heading1Char"/>
    <w:uiPriority w:val="9"/>
    <w:rsid w:val="00B168CC"/>
    <w:pPr>
      <w:keepNext/>
      <w:spacing w:after="240"/>
      <w:outlineLvl w:val="0"/>
    </w:pPr>
    <w:rPr>
      <w:rFonts w:eastAsiaTheme="majorEastAsia"/>
      <w:b/>
      <w:bCs/>
      <w:caps/>
      <w:kern w:val="28"/>
      <w:szCs w:val="28"/>
    </w:rPr>
  </w:style>
  <w:style w:type="paragraph" w:styleId="Heading2">
    <w:name w:val="heading 2"/>
    <w:basedOn w:val="Normal"/>
    <w:next w:val="Normal"/>
    <w:link w:val="Heading2Char"/>
    <w:uiPriority w:val="9"/>
    <w:rsid w:val="00B168CC"/>
    <w:pPr>
      <w:keepNext/>
      <w:spacing w:after="240"/>
      <w:outlineLvl w:val="1"/>
    </w:pPr>
    <w:rPr>
      <w:rFonts w:eastAsiaTheme="majorEastAsia"/>
      <w:b/>
      <w:bCs/>
      <w:szCs w:val="26"/>
    </w:rPr>
  </w:style>
  <w:style w:type="paragraph" w:styleId="Heading3">
    <w:name w:val="heading 3"/>
    <w:basedOn w:val="Normal"/>
    <w:next w:val="Normal"/>
    <w:link w:val="Heading3Char"/>
    <w:uiPriority w:val="9"/>
    <w:rsid w:val="00B168CC"/>
    <w:pPr>
      <w:spacing w:after="240"/>
      <w:outlineLvl w:val="2"/>
    </w:pPr>
    <w:rPr>
      <w:rFonts w:eastAsiaTheme="majorEastAsia"/>
      <w:bCs/>
    </w:rPr>
  </w:style>
  <w:style w:type="paragraph" w:styleId="Heading4">
    <w:name w:val="heading 4"/>
    <w:basedOn w:val="Normal"/>
    <w:next w:val="Normal"/>
    <w:link w:val="Heading4Char"/>
    <w:uiPriority w:val="9"/>
    <w:rsid w:val="00B168CC"/>
    <w:pPr>
      <w:spacing w:after="240"/>
      <w:outlineLvl w:val="3"/>
    </w:pPr>
    <w:rPr>
      <w:rFonts w:eastAsiaTheme="majorEastAsia"/>
      <w:bCs/>
      <w:iCs/>
    </w:rPr>
  </w:style>
  <w:style w:type="paragraph" w:styleId="Heading5">
    <w:name w:val="heading 5"/>
    <w:basedOn w:val="Normal"/>
    <w:next w:val="Normal"/>
    <w:link w:val="Heading5Char"/>
    <w:uiPriority w:val="9"/>
    <w:rsid w:val="00B168CC"/>
    <w:pPr>
      <w:spacing w:after="240"/>
      <w:outlineLvl w:val="4"/>
    </w:pPr>
    <w:rPr>
      <w:rFonts w:eastAsiaTheme="majorEastAsia"/>
    </w:rPr>
  </w:style>
  <w:style w:type="paragraph" w:styleId="Heading6">
    <w:name w:val="heading 6"/>
    <w:basedOn w:val="Normal"/>
    <w:next w:val="Normal"/>
    <w:link w:val="Heading6Char"/>
    <w:uiPriority w:val="9"/>
    <w:rsid w:val="00B168CC"/>
    <w:pPr>
      <w:spacing w:after="240"/>
      <w:outlineLvl w:val="5"/>
    </w:pPr>
    <w:rPr>
      <w:rFonts w:eastAsiaTheme="majorEastAsia"/>
      <w:iCs/>
    </w:rPr>
  </w:style>
  <w:style w:type="paragraph" w:styleId="Heading7">
    <w:name w:val="heading 7"/>
    <w:basedOn w:val="Normal"/>
    <w:next w:val="Normal"/>
    <w:link w:val="Heading7Char"/>
    <w:uiPriority w:val="9"/>
    <w:rsid w:val="00B168CC"/>
    <w:pPr>
      <w:spacing w:after="240"/>
      <w:outlineLvl w:val="6"/>
    </w:pPr>
    <w:rPr>
      <w:rFonts w:eastAsiaTheme="majorEastAsia"/>
      <w:iCs/>
    </w:rPr>
  </w:style>
  <w:style w:type="paragraph" w:styleId="Heading8">
    <w:name w:val="heading 8"/>
    <w:basedOn w:val="Normal"/>
    <w:next w:val="Normal"/>
    <w:link w:val="Heading8Char"/>
    <w:uiPriority w:val="9"/>
    <w:rsid w:val="00B168CC"/>
    <w:pPr>
      <w:spacing w:after="240"/>
      <w:outlineLvl w:val="7"/>
    </w:pPr>
    <w:rPr>
      <w:rFonts w:eastAsiaTheme="majorEastAsia"/>
      <w:szCs w:val="20"/>
    </w:rPr>
  </w:style>
  <w:style w:type="paragraph" w:styleId="Heading9">
    <w:name w:val="heading 9"/>
    <w:basedOn w:val="Normal"/>
    <w:next w:val="Normal"/>
    <w:link w:val="Heading9Char"/>
    <w:uiPriority w:val="9"/>
    <w:rsid w:val="00B168CC"/>
    <w:pPr>
      <w:spacing w:after="240"/>
      <w:outlineLvl w:val="8"/>
    </w:pPr>
    <w:rPr>
      <w:rFonts w:eastAsiaTheme="majorEastAsia"/>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OFooterL" w:customStyle="1">
    <w:name w:val="AOFooterL"/>
    <w:basedOn w:val="Normal"/>
    <w:link w:val="AOFooterLChar"/>
    <w:qFormat/>
    <w:rsid w:val="00B168CC"/>
    <w:pPr>
      <w:jc w:val="left"/>
    </w:pPr>
    <w:rPr>
      <w:sz w:val="16"/>
    </w:rPr>
  </w:style>
  <w:style w:type="character" w:styleId="AOFooterLChar" w:customStyle="1">
    <w:name w:val="AOFooterL Char"/>
    <w:basedOn w:val="DefaultParagraphFont"/>
    <w:link w:val="AOFooterL"/>
    <w:rsid w:val="00B168CC"/>
    <w:rPr>
      <w:rFonts w:ascii="Times New Roman" w:hAnsi="Times New Roman" w:cs="Times New Roman"/>
      <w:sz w:val="16"/>
      <w:lang w:val="en-GB"/>
    </w:rPr>
  </w:style>
  <w:style w:type="paragraph" w:styleId="AOFooterC" w:customStyle="1">
    <w:name w:val="AOFooterC"/>
    <w:basedOn w:val="AOFooterL"/>
    <w:link w:val="AOFooterCChar"/>
    <w:qFormat/>
    <w:rsid w:val="00B168CC"/>
    <w:pPr>
      <w:jc w:val="center"/>
    </w:pPr>
  </w:style>
  <w:style w:type="character" w:styleId="AOFooterCChar" w:customStyle="1">
    <w:name w:val="AOFooterC Char"/>
    <w:basedOn w:val="DefaultParagraphFont"/>
    <w:link w:val="AOFooterC"/>
    <w:rsid w:val="00B168CC"/>
    <w:rPr>
      <w:rFonts w:ascii="Times New Roman" w:hAnsi="Times New Roman" w:cs="Times New Roman"/>
      <w:sz w:val="16"/>
      <w:lang w:val="en-GB"/>
    </w:rPr>
  </w:style>
  <w:style w:type="paragraph" w:styleId="AOFooterR" w:customStyle="1">
    <w:name w:val="AOFooterR"/>
    <w:basedOn w:val="AOFooterL"/>
    <w:link w:val="AOFooterRChar"/>
    <w:qFormat/>
    <w:rsid w:val="00B168CC"/>
    <w:pPr>
      <w:jc w:val="right"/>
    </w:pPr>
  </w:style>
  <w:style w:type="character" w:styleId="AOFooterRChar" w:customStyle="1">
    <w:name w:val="AOFooterR Char"/>
    <w:basedOn w:val="DefaultParagraphFont"/>
    <w:link w:val="AOFooterR"/>
    <w:rsid w:val="00B168CC"/>
    <w:rPr>
      <w:rFonts w:ascii="Times New Roman" w:hAnsi="Times New Roman" w:cs="Times New Roman"/>
      <w:sz w:val="16"/>
      <w:lang w:val="en-GB"/>
    </w:rPr>
  </w:style>
  <w:style w:type="paragraph" w:styleId="Reference" w:customStyle="1">
    <w:name w:val="Reference"/>
    <w:basedOn w:val="Normal"/>
    <w:link w:val="ReferenceChar"/>
    <w:rsid w:val="00B168CC"/>
    <w:rPr>
      <w:sz w:val="16"/>
    </w:rPr>
  </w:style>
  <w:style w:type="character" w:styleId="ReferenceChar" w:customStyle="1">
    <w:name w:val="Reference Char"/>
    <w:basedOn w:val="DefaultParagraphFont"/>
    <w:link w:val="Reference"/>
    <w:rsid w:val="00CE6F40"/>
    <w:rPr>
      <w:rFonts w:ascii="Times New Roman" w:hAnsi="Times New Roman" w:cs="Times New Roman"/>
      <w:sz w:val="16"/>
      <w:lang w:val="en-GB"/>
    </w:rPr>
  </w:style>
  <w:style w:type="paragraph" w:styleId="Footer">
    <w:name w:val="footer"/>
    <w:basedOn w:val="Normal"/>
    <w:link w:val="FooterChar"/>
    <w:uiPriority w:val="99"/>
    <w:rsid w:val="00B168CC"/>
    <w:pPr>
      <w:tabs>
        <w:tab w:val="center" w:pos="4150"/>
        <w:tab w:val="right" w:pos="8306"/>
      </w:tabs>
    </w:pPr>
  </w:style>
  <w:style w:type="character" w:styleId="FooterChar" w:customStyle="1">
    <w:name w:val="Footer Char"/>
    <w:basedOn w:val="DefaultParagraphFont"/>
    <w:link w:val="Footer"/>
    <w:uiPriority w:val="99"/>
    <w:rsid w:val="00CE6F40"/>
    <w:rPr>
      <w:rFonts w:ascii="Times New Roman" w:hAnsi="Times New Roman" w:cs="Times New Roman"/>
      <w:lang w:val="en-GB"/>
    </w:rPr>
  </w:style>
  <w:style w:type="paragraph" w:styleId="Header">
    <w:name w:val="header"/>
    <w:basedOn w:val="Normal"/>
    <w:link w:val="HeaderChar"/>
    <w:uiPriority w:val="99"/>
    <w:rsid w:val="00B168CC"/>
    <w:pPr>
      <w:tabs>
        <w:tab w:val="center" w:pos="4150"/>
        <w:tab w:val="right" w:pos="8306"/>
      </w:tabs>
    </w:pPr>
  </w:style>
  <w:style w:type="character" w:styleId="HeaderChar" w:customStyle="1">
    <w:name w:val="Header Char"/>
    <w:basedOn w:val="DefaultParagraphFont"/>
    <w:link w:val="Header"/>
    <w:uiPriority w:val="99"/>
    <w:rsid w:val="00CE6F40"/>
    <w:rPr>
      <w:rFonts w:ascii="Times New Roman" w:hAnsi="Times New Roman" w:cs="Times New Roman"/>
      <w:lang w:val="en-GB"/>
    </w:rPr>
  </w:style>
  <w:style w:type="character" w:styleId="Heading1Char" w:customStyle="1">
    <w:name w:val="Heading 1 Char"/>
    <w:basedOn w:val="DefaultParagraphFont"/>
    <w:link w:val="Heading1"/>
    <w:uiPriority w:val="9"/>
    <w:rsid w:val="00CE6F40"/>
    <w:rPr>
      <w:rFonts w:ascii="Times New Roman" w:hAnsi="Times New Roman" w:cs="Times New Roman" w:eastAsiaTheme="majorEastAsia"/>
      <w:b/>
      <w:bCs/>
      <w:caps/>
      <w:kern w:val="28"/>
      <w:szCs w:val="28"/>
      <w:lang w:val="en-GB"/>
    </w:rPr>
  </w:style>
  <w:style w:type="character" w:styleId="Heading2Char" w:customStyle="1">
    <w:name w:val="Heading 2 Char"/>
    <w:basedOn w:val="DefaultParagraphFont"/>
    <w:link w:val="Heading2"/>
    <w:uiPriority w:val="9"/>
    <w:rsid w:val="00CE6F40"/>
    <w:rPr>
      <w:rFonts w:ascii="Times New Roman" w:hAnsi="Times New Roman" w:cs="Times New Roman" w:eastAsiaTheme="majorEastAsia"/>
      <w:b/>
      <w:bCs/>
      <w:szCs w:val="26"/>
      <w:lang w:val="en-GB"/>
    </w:rPr>
  </w:style>
  <w:style w:type="character" w:styleId="Heading3Char" w:customStyle="1">
    <w:name w:val="Heading 3 Char"/>
    <w:basedOn w:val="DefaultParagraphFont"/>
    <w:link w:val="Heading3"/>
    <w:uiPriority w:val="9"/>
    <w:rsid w:val="00CE6F40"/>
    <w:rPr>
      <w:rFonts w:ascii="Times New Roman" w:hAnsi="Times New Roman" w:cs="Times New Roman" w:eastAsiaTheme="majorEastAsia"/>
      <w:bCs/>
      <w:lang w:val="en-GB"/>
    </w:rPr>
  </w:style>
  <w:style w:type="character" w:styleId="Heading4Char" w:customStyle="1">
    <w:name w:val="Heading 4 Char"/>
    <w:basedOn w:val="DefaultParagraphFont"/>
    <w:link w:val="Heading4"/>
    <w:uiPriority w:val="9"/>
    <w:rsid w:val="00CE6F40"/>
    <w:rPr>
      <w:rFonts w:ascii="Times New Roman" w:hAnsi="Times New Roman" w:cs="Times New Roman" w:eastAsiaTheme="majorEastAsia"/>
      <w:bCs/>
      <w:iCs/>
      <w:lang w:val="en-GB"/>
    </w:rPr>
  </w:style>
  <w:style w:type="character" w:styleId="Heading5Char" w:customStyle="1">
    <w:name w:val="Heading 5 Char"/>
    <w:basedOn w:val="DefaultParagraphFont"/>
    <w:link w:val="Heading5"/>
    <w:uiPriority w:val="9"/>
    <w:rsid w:val="00CE6F40"/>
    <w:rPr>
      <w:rFonts w:ascii="Times New Roman" w:hAnsi="Times New Roman" w:cs="Times New Roman" w:eastAsiaTheme="majorEastAsia"/>
      <w:lang w:val="en-GB"/>
    </w:rPr>
  </w:style>
  <w:style w:type="character" w:styleId="Heading6Char" w:customStyle="1">
    <w:name w:val="Heading 6 Char"/>
    <w:basedOn w:val="DefaultParagraphFont"/>
    <w:link w:val="Heading6"/>
    <w:uiPriority w:val="9"/>
    <w:rsid w:val="00CE6F40"/>
    <w:rPr>
      <w:rFonts w:ascii="Times New Roman" w:hAnsi="Times New Roman" w:cs="Times New Roman" w:eastAsiaTheme="majorEastAsia"/>
      <w:iCs/>
      <w:lang w:val="en-GB"/>
    </w:rPr>
  </w:style>
  <w:style w:type="character" w:styleId="Heading7Char" w:customStyle="1">
    <w:name w:val="Heading 7 Char"/>
    <w:basedOn w:val="DefaultParagraphFont"/>
    <w:link w:val="Heading7"/>
    <w:uiPriority w:val="9"/>
    <w:rsid w:val="00CE6F40"/>
    <w:rPr>
      <w:rFonts w:ascii="Times New Roman" w:hAnsi="Times New Roman" w:cs="Times New Roman" w:eastAsiaTheme="majorEastAsia"/>
      <w:iCs/>
      <w:lang w:val="en-GB"/>
    </w:rPr>
  </w:style>
  <w:style w:type="character" w:styleId="Heading8Char" w:customStyle="1">
    <w:name w:val="Heading 8 Char"/>
    <w:basedOn w:val="DefaultParagraphFont"/>
    <w:link w:val="Heading8"/>
    <w:uiPriority w:val="9"/>
    <w:rsid w:val="00CE6F40"/>
    <w:rPr>
      <w:rFonts w:ascii="Times New Roman" w:hAnsi="Times New Roman" w:cs="Times New Roman" w:eastAsiaTheme="majorEastAsia"/>
      <w:szCs w:val="20"/>
      <w:lang w:val="en-GB"/>
    </w:rPr>
  </w:style>
  <w:style w:type="character" w:styleId="Heading9Char" w:customStyle="1">
    <w:name w:val="Heading 9 Char"/>
    <w:basedOn w:val="DefaultParagraphFont"/>
    <w:link w:val="Heading9"/>
    <w:uiPriority w:val="9"/>
    <w:rsid w:val="00CE6F40"/>
    <w:rPr>
      <w:rFonts w:ascii="Times New Roman" w:hAnsi="Times New Roman" w:cs="Times New Roman" w:eastAsiaTheme="majorEastAsia"/>
      <w:iCs/>
      <w:szCs w:val="20"/>
      <w:lang w:val="en-GB"/>
    </w:rPr>
  </w:style>
  <w:style w:type="paragraph" w:styleId="TOC1">
    <w:name w:val="toc 1"/>
    <w:basedOn w:val="Normal"/>
    <w:next w:val="Normal"/>
    <w:autoRedefine/>
    <w:uiPriority w:val="39"/>
    <w:rsid w:val="003317FF"/>
    <w:pPr>
      <w:tabs>
        <w:tab w:val="left" w:pos="720"/>
        <w:tab w:val="right" w:leader="dot" w:pos="9026"/>
      </w:tabs>
      <w:ind w:left="720" w:hanging="720"/>
      <w:jc w:val="left"/>
    </w:pPr>
  </w:style>
  <w:style w:type="paragraph" w:styleId="TOC2">
    <w:name w:val="toc 2"/>
    <w:basedOn w:val="Normal"/>
    <w:next w:val="Normal"/>
    <w:autoRedefine/>
    <w:uiPriority w:val="39"/>
    <w:rsid w:val="00B168CC"/>
    <w:pPr>
      <w:tabs>
        <w:tab w:val="right" w:pos="720"/>
        <w:tab w:val="right" w:pos="850"/>
        <w:tab w:val="decimal" w:leader="dot" w:pos="8997"/>
      </w:tabs>
      <w:ind w:left="1440" w:hanging="720"/>
    </w:pPr>
  </w:style>
  <w:style w:type="paragraph" w:styleId="TOC3">
    <w:name w:val="toc 3"/>
    <w:basedOn w:val="Normal"/>
    <w:next w:val="Normal"/>
    <w:autoRedefine/>
    <w:uiPriority w:val="39"/>
    <w:rsid w:val="00D81A3A"/>
    <w:pPr>
      <w:numPr>
        <w:numId w:val="16"/>
      </w:numPr>
    </w:pPr>
  </w:style>
  <w:style w:type="paragraph" w:styleId="TOC4">
    <w:name w:val="toc 4"/>
    <w:basedOn w:val="Normal"/>
    <w:next w:val="Normal"/>
    <w:autoRedefine/>
    <w:uiPriority w:val="39"/>
    <w:rsid w:val="00460166"/>
    <w:pPr>
      <w:numPr>
        <w:numId w:val="17"/>
      </w:numPr>
      <w:tabs>
        <w:tab w:val="right" w:leader="dot" w:pos="9016"/>
      </w:tabs>
    </w:pPr>
  </w:style>
  <w:style w:type="paragraph" w:styleId="TOC5">
    <w:name w:val="toc 5"/>
    <w:basedOn w:val="Normal"/>
    <w:next w:val="Normal"/>
    <w:autoRedefine/>
    <w:uiPriority w:val="39"/>
    <w:rsid w:val="00460166"/>
    <w:pPr>
      <w:tabs>
        <w:tab w:val="right" w:leader="dot" w:pos="9016"/>
      </w:tabs>
      <w:spacing w:before="240"/>
    </w:pPr>
  </w:style>
  <w:style w:type="paragraph" w:styleId="TOC6">
    <w:name w:val="toc 6"/>
    <w:basedOn w:val="Normal"/>
    <w:next w:val="Normal"/>
    <w:autoRedefine/>
    <w:uiPriority w:val="39"/>
    <w:rsid w:val="00B168CC"/>
    <w:pPr>
      <w:ind w:left="1094"/>
    </w:pPr>
  </w:style>
  <w:style w:type="paragraph" w:styleId="TOC7">
    <w:name w:val="toc 7"/>
    <w:basedOn w:val="Normal"/>
    <w:next w:val="Normal"/>
    <w:autoRedefine/>
    <w:uiPriority w:val="39"/>
    <w:rsid w:val="00B168CC"/>
    <w:pPr>
      <w:ind w:left="1327"/>
    </w:pPr>
  </w:style>
  <w:style w:type="paragraph" w:styleId="TOC8">
    <w:name w:val="toc 8"/>
    <w:basedOn w:val="Normal"/>
    <w:next w:val="Normal"/>
    <w:autoRedefine/>
    <w:uiPriority w:val="39"/>
    <w:rsid w:val="00B168CC"/>
    <w:pPr>
      <w:ind w:left="1542"/>
    </w:pPr>
  </w:style>
  <w:style w:type="paragraph" w:styleId="TOC9">
    <w:name w:val="toc 9"/>
    <w:basedOn w:val="Normal"/>
    <w:next w:val="Normal"/>
    <w:autoRedefine/>
    <w:uiPriority w:val="39"/>
    <w:rsid w:val="00B168CC"/>
    <w:pPr>
      <w:ind w:left="1757"/>
    </w:pPr>
  </w:style>
  <w:style w:type="table" w:styleId="TableGrid">
    <w:name w:val="Table Grid"/>
    <w:basedOn w:val="TableNormal"/>
    <w:uiPriority w:val="59"/>
    <w:rsid w:val="00A86FC1"/>
    <w:pPr>
      <w:spacing w:after="0" w:line="240" w:lineRule="auto"/>
    </w:pPr>
    <w:tblPr>
      <w:tblCellMar>
        <w:left w:w="0" w:type="dxa"/>
        <w:right w:w="0" w:type="dxa"/>
      </w:tblCellMar>
    </w:tblPr>
  </w:style>
  <w:style w:type="paragraph" w:styleId="BText" w:customStyle="1">
    <w:name w:val="BText"/>
    <w:basedOn w:val="Normal"/>
    <w:qFormat/>
    <w:rsid w:val="005D740A"/>
    <w:pPr>
      <w:spacing w:before="240" w:line="260" w:lineRule="atLeast"/>
    </w:pPr>
  </w:style>
  <w:style w:type="paragraph" w:styleId="BText1" w:customStyle="1">
    <w:name w:val="BText1"/>
    <w:basedOn w:val="BText"/>
    <w:qFormat/>
    <w:rsid w:val="005D740A"/>
    <w:pPr>
      <w:ind w:left="720"/>
    </w:pPr>
  </w:style>
  <w:style w:type="paragraph" w:styleId="DefNum1" w:customStyle="1">
    <w:name w:val="DefNum1"/>
    <w:basedOn w:val="BText1"/>
    <w:rsid w:val="005D740A"/>
    <w:pPr>
      <w:numPr>
        <w:ilvl w:val="1"/>
        <w:numId w:val="2"/>
      </w:numPr>
    </w:pPr>
  </w:style>
  <w:style w:type="paragraph" w:styleId="DefText" w:customStyle="1">
    <w:name w:val="DefText"/>
    <w:basedOn w:val="BText"/>
    <w:qFormat/>
    <w:rsid w:val="005D740A"/>
    <w:pPr>
      <w:numPr>
        <w:numId w:val="2"/>
      </w:numPr>
    </w:pPr>
  </w:style>
  <w:style w:type="paragraph" w:styleId="Num1" w:customStyle="1">
    <w:name w:val="Num1"/>
    <w:basedOn w:val="BText"/>
    <w:qFormat/>
    <w:rsid w:val="005D740A"/>
    <w:pPr>
      <w:numPr>
        <w:numId w:val="4"/>
      </w:numPr>
    </w:pPr>
  </w:style>
  <w:style w:type="paragraph" w:styleId="Num2" w:customStyle="1">
    <w:name w:val="Num2"/>
    <w:basedOn w:val="BText"/>
    <w:rsid w:val="005D740A"/>
    <w:pPr>
      <w:numPr>
        <w:ilvl w:val="1"/>
        <w:numId w:val="4"/>
      </w:numPr>
    </w:pPr>
  </w:style>
  <w:style w:type="paragraph" w:styleId="OutNum1" w:customStyle="1">
    <w:name w:val="OutNum1"/>
    <w:basedOn w:val="BText"/>
    <w:qFormat/>
    <w:rsid w:val="0079068B"/>
    <w:pPr>
      <w:numPr>
        <w:numId w:val="8"/>
      </w:numPr>
      <w:jc w:val="left"/>
      <w:outlineLvl w:val="0"/>
    </w:pPr>
    <w:rPr>
      <w:rFonts w:ascii="Times New Roman Bold" w:hAnsi="Times New Roman Bold"/>
      <w:b/>
      <w:caps/>
    </w:rPr>
  </w:style>
  <w:style w:type="paragraph" w:styleId="OutNum2" w:customStyle="1">
    <w:name w:val="OutNum2"/>
    <w:basedOn w:val="BText"/>
    <w:rsid w:val="0079068B"/>
    <w:pPr>
      <w:numPr>
        <w:ilvl w:val="1"/>
        <w:numId w:val="8"/>
      </w:numPr>
      <w:outlineLvl w:val="1"/>
    </w:pPr>
    <w:rPr>
      <w:b/>
    </w:rPr>
  </w:style>
  <w:style w:type="paragraph" w:styleId="OutNum3" w:customStyle="1">
    <w:name w:val="OutNum3"/>
    <w:basedOn w:val="BText"/>
    <w:rsid w:val="0079068B"/>
    <w:pPr>
      <w:numPr>
        <w:ilvl w:val="2"/>
        <w:numId w:val="8"/>
      </w:numPr>
      <w:outlineLvl w:val="2"/>
    </w:pPr>
  </w:style>
  <w:style w:type="paragraph" w:styleId="OutNum4" w:customStyle="1">
    <w:name w:val="OutNum4"/>
    <w:basedOn w:val="BText"/>
    <w:rsid w:val="0079068B"/>
    <w:pPr>
      <w:numPr>
        <w:ilvl w:val="3"/>
        <w:numId w:val="8"/>
      </w:numPr>
      <w:outlineLvl w:val="3"/>
    </w:pPr>
  </w:style>
  <w:style w:type="paragraph" w:styleId="SchdH" w:customStyle="1">
    <w:name w:val="SchdH"/>
    <w:basedOn w:val="BText"/>
    <w:qFormat/>
    <w:rsid w:val="0079068B"/>
    <w:pPr>
      <w:pageBreakBefore/>
      <w:numPr>
        <w:numId w:val="12"/>
      </w:numPr>
      <w:jc w:val="center"/>
      <w:outlineLvl w:val="4"/>
    </w:pPr>
    <w:rPr>
      <w:b/>
    </w:rPr>
  </w:style>
  <w:style w:type="paragraph" w:styleId="SchdNum1" w:customStyle="1">
    <w:name w:val="SchdNum1"/>
    <w:basedOn w:val="BText"/>
    <w:qFormat/>
    <w:rsid w:val="0079068B"/>
    <w:pPr>
      <w:numPr>
        <w:numId w:val="11"/>
      </w:numPr>
      <w:outlineLvl w:val="5"/>
    </w:pPr>
    <w:rPr>
      <w:rFonts w:ascii="Times New Roman Bold" w:hAnsi="Times New Roman Bold"/>
      <w:b/>
      <w:caps/>
    </w:rPr>
  </w:style>
  <w:style w:type="paragraph" w:styleId="SchdNum2" w:customStyle="1">
    <w:name w:val="SchdNum2"/>
    <w:basedOn w:val="BText"/>
    <w:rsid w:val="0079068B"/>
    <w:pPr>
      <w:numPr>
        <w:ilvl w:val="1"/>
        <w:numId w:val="11"/>
      </w:numPr>
      <w:outlineLvl w:val="6"/>
    </w:pPr>
  </w:style>
  <w:style w:type="paragraph" w:styleId="SchdT" w:customStyle="1">
    <w:name w:val="SchdT"/>
    <w:basedOn w:val="BText"/>
    <w:rsid w:val="0079068B"/>
    <w:pPr>
      <w:numPr>
        <w:ilvl w:val="1"/>
        <w:numId w:val="12"/>
      </w:numPr>
      <w:jc w:val="center"/>
      <w:outlineLvl w:val="4"/>
    </w:pPr>
    <w:rPr>
      <w:rFonts w:ascii="Times New Roman Bold" w:hAnsi="Times New Roman Bold"/>
      <w:b/>
      <w:caps/>
    </w:rPr>
  </w:style>
  <w:style w:type="paragraph" w:styleId="SigTitle" w:customStyle="1">
    <w:name w:val="SigTitle"/>
    <w:basedOn w:val="BText"/>
    <w:qFormat/>
    <w:rsid w:val="005D740A"/>
    <w:pPr>
      <w:pageBreakBefore/>
      <w:jc w:val="center"/>
    </w:pPr>
    <w:rPr>
      <w:rFonts w:ascii="Times New Roman Bold" w:hAnsi="Times New Roman Bold"/>
      <w:b/>
      <w:caps/>
    </w:rPr>
  </w:style>
  <w:style w:type="paragraph" w:styleId="AltOutNum2" w:customStyle="1">
    <w:name w:val="AltOutNum2"/>
    <w:basedOn w:val="OutNum2"/>
    <w:qFormat/>
    <w:rsid w:val="0079068B"/>
    <w:rPr>
      <w:b w:val="0"/>
    </w:rPr>
  </w:style>
  <w:style w:type="paragraph" w:styleId="AltOutNum3" w:customStyle="1">
    <w:name w:val="AltOutNum3"/>
    <w:basedOn w:val="OutNum3"/>
    <w:qFormat/>
    <w:rsid w:val="0079068B"/>
  </w:style>
  <w:style w:type="paragraph" w:styleId="AltOutNum4" w:customStyle="1">
    <w:name w:val="AltOutNum4"/>
    <w:basedOn w:val="OutNum4"/>
    <w:qFormat/>
    <w:rsid w:val="0079068B"/>
    <w:pPr>
      <w:ind w:left="1440"/>
    </w:pPr>
  </w:style>
  <w:style w:type="paragraph" w:styleId="SchdNum3" w:customStyle="1">
    <w:name w:val="SchdNum3"/>
    <w:basedOn w:val="BText"/>
    <w:rsid w:val="0079068B"/>
    <w:pPr>
      <w:numPr>
        <w:ilvl w:val="2"/>
        <w:numId w:val="11"/>
      </w:numPr>
      <w:outlineLvl w:val="7"/>
    </w:pPr>
  </w:style>
  <w:style w:type="paragraph" w:styleId="SchdNum4" w:customStyle="1">
    <w:name w:val="SchdNum4"/>
    <w:basedOn w:val="BText"/>
    <w:rsid w:val="0079068B"/>
    <w:pPr>
      <w:numPr>
        <w:ilvl w:val="3"/>
        <w:numId w:val="11"/>
      </w:numPr>
      <w:outlineLvl w:val="8"/>
    </w:pPr>
  </w:style>
  <w:style w:type="paragraph" w:styleId="FootnoteText">
    <w:name w:val="footnote text"/>
    <w:basedOn w:val="Normal"/>
    <w:link w:val="FootnoteTextChar"/>
    <w:uiPriority w:val="99"/>
    <w:semiHidden/>
    <w:unhideWhenUsed/>
    <w:rsid w:val="00470C89"/>
    <w:rPr>
      <w:sz w:val="16"/>
      <w:szCs w:val="20"/>
    </w:rPr>
  </w:style>
  <w:style w:type="character" w:styleId="FootnoteTextChar" w:customStyle="1">
    <w:name w:val="Footnote Text Char"/>
    <w:basedOn w:val="DefaultParagraphFont"/>
    <w:link w:val="FootnoteText"/>
    <w:uiPriority w:val="99"/>
    <w:semiHidden/>
    <w:rsid w:val="00470C89"/>
    <w:rPr>
      <w:rFonts w:ascii="Times New Roman" w:hAnsi="Times New Roman" w:cs="Times New Roman"/>
      <w:sz w:val="16"/>
      <w:szCs w:val="20"/>
    </w:rPr>
  </w:style>
  <w:style w:type="paragraph" w:styleId="BalloonText">
    <w:name w:val="Balloon Text"/>
    <w:basedOn w:val="Normal"/>
    <w:link w:val="BalloonTextChar"/>
    <w:uiPriority w:val="99"/>
    <w:semiHidden/>
    <w:unhideWhenUsed/>
    <w:rsid w:val="00F015B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015B6"/>
    <w:rPr>
      <w:rFonts w:ascii="Segoe UI" w:hAnsi="Segoe UI" w:cs="Segoe UI"/>
      <w:sz w:val="18"/>
      <w:szCs w:val="18"/>
    </w:rPr>
  </w:style>
  <w:style w:type="paragraph" w:styleId="Revision">
    <w:name w:val="Revision"/>
    <w:hidden/>
    <w:uiPriority w:val="99"/>
    <w:semiHidden/>
    <w:rsid w:val="00785DC1"/>
    <w:pPr>
      <w:spacing w:after="0" w:line="240" w:lineRule="auto"/>
    </w:pPr>
    <w:rPr>
      <w:rFonts w:ascii="Times New Roman" w:hAnsi="Times New Roman" w:cs="Times New Roman"/>
    </w:rPr>
  </w:style>
  <w:style w:type="character" w:styleId="FootnoteReference">
    <w:name w:val="footnote reference"/>
    <w:basedOn w:val="DefaultParagraphFont"/>
    <w:uiPriority w:val="99"/>
    <w:semiHidden/>
    <w:unhideWhenUsed/>
    <w:rsid w:val="00685F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theme" Target="theme/theme1.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1899-12-31T23:00:00.0000000Z</dcterms:created>
  <dcterms:modified xsi:type="dcterms:W3CDTF">1899-12-31T23:00:00.0000000Z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33" name="MSIP_Label_42e67a54-274b-43d7-8098-b3ba5f50e576_Enabled">
    <vt:lpwstr>true</vt:lpwstr>
  </op:property>
  <op:property fmtid="{D5CDD505-2E9C-101B-9397-08002B2CF9AE}" pid="34" name="MSIP_Label_42e67a54-274b-43d7-8098-b3ba5f50e576_SetDate">
    <vt:lpwstr>2023-08-17T18:34:04Z</vt:lpwstr>
  </op:property>
  <op:property fmtid="{D5CDD505-2E9C-101B-9397-08002B2CF9AE}" pid="35" name="MSIP_Label_42e67a54-274b-43d7-8098-b3ba5f50e576_Method">
    <vt:lpwstr>Standard</vt:lpwstr>
  </op:property>
  <op:property fmtid="{D5CDD505-2E9C-101B-9397-08002B2CF9AE}" pid="36" name="MSIP_Label_42e67a54-274b-43d7-8098-b3ba5f50e576_Name">
    <vt:lpwstr>42e67a54-274b-43d7-8098-b3ba5f50e576</vt:lpwstr>
  </op:property>
  <op:property fmtid="{D5CDD505-2E9C-101B-9397-08002B2CF9AE}" pid="37" name="MSIP_Label_42e67a54-274b-43d7-8098-b3ba5f50e576_SiteId">
    <vt:lpwstr>7f0b44d2-04f8-4672-bf5d-4676796468a3</vt:lpwstr>
  </op:property>
  <op:property fmtid="{D5CDD505-2E9C-101B-9397-08002B2CF9AE}" pid="38" name="MSIP_Label_42e67a54-274b-43d7-8098-b3ba5f50e576_ActionId">
    <vt:lpwstr>6a02005c-af1c-44fa-b187-03aa7d41b237</vt:lpwstr>
  </op:property>
  <op:property fmtid="{D5CDD505-2E9C-101B-9397-08002B2CF9AE}" pid="39" name="MSIP_Label_42e67a54-274b-43d7-8098-b3ba5f50e576_ContentBits">
    <vt:lpwstr>0</vt:lpwstr>
  </op:property>
</op:Properties>
</file>