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A11" w:rsidP="00294A11" w:rsidRDefault="00DE15DD" w14:paraId="562AE2C3" w14:textId="1EB40AB2">
      <w:pPr>
        <w:jc w:val="center"/>
        <w:rPr>
          <w:b/>
        </w:rPr>
      </w:pPr>
      <w:r>
        <w:rPr>
          <w:b/>
        </w:rPr>
        <w:t>EQUITY INVESTMENT</w:t>
      </w:r>
      <w:r w:rsidRPr="00E00885" w:rsidR="00294A11">
        <w:rPr>
          <w:b/>
        </w:rPr>
        <w:t xml:space="preserve"> TERM SHEET DATED [</w:t>
      </w:r>
      <w:r w:rsidRPr="003765BB" w:rsidR="003765BB">
        <w:rPr>
          <w:lang w:val="en-US"/>
        </w:rPr>
        <w:sym w:font="Wingdings" w:char="F06C"/>
      </w:r>
      <w:r w:rsidRPr="00E00885" w:rsidR="00294A11">
        <w:rPr>
          <w:b/>
        </w:rPr>
        <w:t>]</w:t>
      </w:r>
    </w:p>
    <w:p w:rsidR="00294A11" w:rsidP="00294A11" w:rsidRDefault="00294A11" w14:paraId="5BF23D3C" w14:textId="77777777">
      <w:pPr>
        <w:jc w:val="center"/>
        <w:rPr>
          <w:b/>
        </w:rPr>
      </w:pPr>
    </w:p>
    <w:tbl>
      <w:tblPr>
        <w:tblStyle w:val="TableGrid"/>
        <w:tblW w:w="5000" w:type="pct"/>
        <w:tblCellMar>
          <w:left w:w="68" w:type="dxa"/>
          <w:right w:w="68" w:type="dxa"/>
        </w:tblCellMar>
        <w:tblLook w:val="04A0" w:firstRow="1" w:lastRow="0" w:firstColumn="1" w:lastColumn="0" w:noHBand="0" w:noVBand="1"/>
      </w:tblPr>
      <w:tblGrid>
        <w:gridCol w:w="2410"/>
        <w:gridCol w:w="6616"/>
      </w:tblGrid>
      <w:tr w:rsidR="00294A11" w:rsidTr="00041E41" w14:paraId="2172D4F9" w14:textId="77777777">
        <w:tc>
          <w:tcPr>
            <w:tcW w:w="1335" w:type="pct"/>
          </w:tcPr>
          <w:p w:rsidRPr="006B6F36" w:rsidR="00294A11" w:rsidP="00041E41" w:rsidRDefault="00294A11" w14:paraId="120AED91" w14:textId="1E44C509">
            <w:pPr>
              <w:pStyle w:val="BText"/>
              <w:spacing w:before="120"/>
              <w:jc w:val="left"/>
              <w:rPr>
                <w:b/>
                <w:bCs/>
              </w:rPr>
            </w:pPr>
            <w:r w:rsidRPr="006B6F36">
              <w:rPr>
                <w:b/>
                <w:bCs/>
              </w:rPr>
              <w:t>Company</w:t>
            </w:r>
          </w:p>
        </w:tc>
        <w:tc>
          <w:tcPr>
            <w:tcW w:w="3665" w:type="pct"/>
          </w:tcPr>
          <w:p w:rsidR="00294A11" w:rsidP="00041E41" w:rsidRDefault="00294A11" w14:paraId="48488714" w14:textId="1003D3FB">
            <w:pPr>
              <w:pStyle w:val="BText"/>
              <w:spacing w:before="120"/>
              <w:jc w:val="left"/>
            </w:pPr>
            <w:r w:rsidRPr="00E00885">
              <w:t>[name], ID No.: [</w:t>
            </w:r>
            <w:r w:rsidRPr="003765BB" w:rsidR="003765BB">
              <w:rPr>
                <w:lang w:val="en-US"/>
              </w:rPr>
              <w:sym w:font="Wingdings" w:char="F06C"/>
            </w:r>
            <w:r w:rsidRPr="00E00885">
              <w:t>], with its registered office at [</w:t>
            </w:r>
            <w:r w:rsidRPr="003765BB" w:rsidR="003765BB">
              <w:rPr>
                <w:lang w:val="en-US"/>
              </w:rPr>
              <w:sym w:font="Wingdings" w:char="F06C"/>
            </w:r>
            <w:r w:rsidRPr="00E00885">
              <w:t>].</w:t>
            </w:r>
          </w:p>
        </w:tc>
      </w:tr>
      <w:tr w:rsidR="00294A11" w:rsidTr="00041E41" w14:paraId="6BAA7F2B" w14:textId="77777777">
        <w:tc>
          <w:tcPr>
            <w:tcW w:w="1335" w:type="pct"/>
          </w:tcPr>
          <w:p w:rsidRPr="006B6F36" w:rsidR="00294A11" w:rsidP="00041E41" w:rsidRDefault="00294A11" w14:paraId="4D610B9B" w14:textId="0B24E6EC">
            <w:pPr>
              <w:pStyle w:val="BText"/>
              <w:spacing w:before="120"/>
              <w:jc w:val="left"/>
              <w:rPr>
                <w:b/>
                <w:bCs/>
              </w:rPr>
            </w:pPr>
            <w:r w:rsidRPr="006B6F36">
              <w:rPr>
                <w:b/>
                <w:bCs/>
              </w:rPr>
              <w:t>Founder[s]</w:t>
            </w:r>
          </w:p>
        </w:tc>
        <w:tc>
          <w:tcPr>
            <w:tcW w:w="3665" w:type="pct"/>
          </w:tcPr>
          <w:p w:rsidR="00294A11" w:rsidP="00041E41" w:rsidRDefault="00294A11" w14:paraId="1F070729" w14:textId="21BBA2A9">
            <w:pPr>
              <w:pStyle w:val="BText"/>
              <w:spacing w:before="120"/>
              <w:jc w:val="left"/>
            </w:pPr>
            <w:r w:rsidRPr="00E00885">
              <w:t>Following founder[s] and current shareholder[s] of the Company: [insert].</w:t>
            </w:r>
          </w:p>
        </w:tc>
      </w:tr>
      <w:tr w:rsidR="00294A11" w:rsidTr="00041E41" w14:paraId="310B7F8E" w14:textId="77777777">
        <w:tc>
          <w:tcPr>
            <w:tcW w:w="1335" w:type="pct"/>
          </w:tcPr>
          <w:p w:rsidRPr="006B6F36" w:rsidR="00294A11" w:rsidP="00041E41" w:rsidRDefault="00294A11" w14:paraId="06DD7535" w14:textId="2C87BA5A">
            <w:pPr>
              <w:pStyle w:val="BText"/>
              <w:spacing w:before="120"/>
              <w:jc w:val="left"/>
              <w:rPr>
                <w:b/>
                <w:bCs/>
              </w:rPr>
            </w:pPr>
            <w:r w:rsidRPr="006B6F36">
              <w:rPr>
                <w:b/>
                <w:bCs/>
              </w:rPr>
              <w:t>Investor</w:t>
            </w:r>
            <w:r w:rsidR="00A425F8">
              <w:rPr>
                <w:b/>
                <w:bCs/>
              </w:rPr>
              <w:t xml:space="preserve"> </w:t>
            </w:r>
            <w:r w:rsidR="006D213A">
              <w:rPr>
                <w:b/>
                <w:bCs/>
              </w:rPr>
              <w:t>1</w:t>
            </w:r>
          </w:p>
        </w:tc>
        <w:tc>
          <w:tcPr>
            <w:tcW w:w="3665" w:type="pct"/>
          </w:tcPr>
          <w:p w:rsidR="00294A11" w:rsidP="00041E41" w:rsidRDefault="00294A11" w14:paraId="78E62AF9" w14:textId="5D502EDD">
            <w:pPr>
              <w:pStyle w:val="BText"/>
              <w:spacing w:before="120"/>
              <w:jc w:val="left"/>
            </w:pPr>
            <w:r w:rsidRPr="00E00885">
              <w:t>[name], ID No.: [</w:t>
            </w:r>
            <w:r w:rsidRPr="003765BB" w:rsidR="003765BB">
              <w:rPr>
                <w:lang w:val="en-US"/>
              </w:rPr>
              <w:sym w:font="Wingdings" w:char="F06C"/>
            </w:r>
            <w:r w:rsidRPr="00E00885">
              <w:t>], with its registered office at [</w:t>
            </w:r>
            <w:r w:rsidRPr="003765BB" w:rsidR="003765BB">
              <w:rPr>
                <w:lang w:val="en-US"/>
              </w:rPr>
              <w:sym w:font="Wingdings" w:char="F06C"/>
            </w:r>
            <w:r w:rsidRPr="00E00885">
              <w:t>]</w:t>
            </w:r>
            <w:r w:rsidR="00A425F8">
              <w:t xml:space="preserve"> making an investment of [CZK/EUR] [</w:t>
            </w:r>
            <w:r w:rsidR="00A425F8">
              <w:rPr>
                <w:i/>
                <w:iCs/>
              </w:rPr>
              <w:t>insert</w:t>
            </w:r>
            <w:r w:rsidR="00A425F8">
              <w:t>] (</w:t>
            </w:r>
            <w:r w:rsidR="00A425F8">
              <w:rPr>
                <w:b/>
                <w:bCs/>
              </w:rPr>
              <w:t xml:space="preserve">Investment </w:t>
            </w:r>
            <w:r w:rsidR="006D213A">
              <w:rPr>
                <w:b/>
                <w:bCs/>
              </w:rPr>
              <w:t>1</w:t>
            </w:r>
            <w:r w:rsidR="00A425F8">
              <w:t>)</w:t>
            </w:r>
            <w:r w:rsidRPr="00E00885">
              <w:t>.</w:t>
            </w:r>
          </w:p>
        </w:tc>
      </w:tr>
      <w:tr w:rsidR="00A425F8" w:rsidTr="00E40EA8" w14:paraId="17693FC0" w14:textId="77777777">
        <w:tc>
          <w:tcPr>
            <w:tcW w:w="1335" w:type="pct"/>
          </w:tcPr>
          <w:p w:rsidRPr="006B6F36" w:rsidR="00A425F8" w:rsidP="00E40EA8" w:rsidRDefault="00A425F8" w14:paraId="4461A353" w14:textId="48F5B402">
            <w:pPr>
              <w:pStyle w:val="BText"/>
              <w:spacing w:before="120"/>
              <w:jc w:val="left"/>
              <w:rPr>
                <w:b/>
                <w:bCs/>
              </w:rPr>
            </w:pPr>
            <w:r w:rsidRPr="006B6F36">
              <w:rPr>
                <w:b/>
                <w:bCs/>
              </w:rPr>
              <w:t>Investor</w:t>
            </w:r>
            <w:r>
              <w:rPr>
                <w:b/>
                <w:bCs/>
              </w:rPr>
              <w:t xml:space="preserve"> </w:t>
            </w:r>
            <w:r w:rsidR="006D213A">
              <w:rPr>
                <w:b/>
                <w:bCs/>
              </w:rPr>
              <w:t>2</w:t>
            </w:r>
          </w:p>
        </w:tc>
        <w:tc>
          <w:tcPr>
            <w:tcW w:w="3665" w:type="pct"/>
          </w:tcPr>
          <w:p w:rsidR="00A425F8" w:rsidP="00E40EA8" w:rsidRDefault="00A425F8" w14:paraId="70C38243" w14:textId="17E5F7A0">
            <w:pPr>
              <w:pStyle w:val="BText"/>
              <w:spacing w:before="120"/>
              <w:jc w:val="left"/>
            </w:pPr>
            <w:r w:rsidRPr="00E00885">
              <w:t>[name], ID No.: [</w:t>
            </w:r>
            <w:r w:rsidRPr="003765BB">
              <w:rPr>
                <w:lang w:val="en-US"/>
              </w:rPr>
              <w:sym w:font="Wingdings" w:char="F06C"/>
            </w:r>
            <w:r w:rsidRPr="00E00885">
              <w:t>], with its registered office at [</w:t>
            </w:r>
            <w:r w:rsidRPr="003765BB">
              <w:rPr>
                <w:lang w:val="en-US"/>
              </w:rPr>
              <w:sym w:font="Wingdings" w:char="F06C"/>
            </w:r>
            <w:r w:rsidRPr="00E00885">
              <w:t>]</w:t>
            </w:r>
            <w:r>
              <w:t>making an investment of [CZK/EUR] [</w:t>
            </w:r>
            <w:r>
              <w:rPr>
                <w:i/>
                <w:iCs/>
              </w:rPr>
              <w:t>insert</w:t>
            </w:r>
            <w:r>
              <w:t>] (</w:t>
            </w:r>
            <w:r>
              <w:rPr>
                <w:b/>
                <w:bCs/>
              </w:rPr>
              <w:t xml:space="preserve">Investment </w:t>
            </w:r>
            <w:r w:rsidR="006D213A">
              <w:rPr>
                <w:b/>
                <w:bCs/>
              </w:rPr>
              <w:t>2</w:t>
            </w:r>
            <w:r>
              <w:t>)</w:t>
            </w:r>
            <w:r w:rsidRPr="00E00885">
              <w:t>.</w:t>
            </w:r>
          </w:p>
        </w:tc>
      </w:tr>
      <w:tr w:rsidR="00294A11" w:rsidTr="00041E41" w14:paraId="5A423D32" w14:textId="77777777">
        <w:tc>
          <w:tcPr>
            <w:tcW w:w="1335" w:type="pct"/>
          </w:tcPr>
          <w:p w:rsidRPr="00A425F8" w:rsidR="00294A11" w:rsidP="00041E41" w:rsidRDefault="00DE15DD" w14:paraId="2129300C" w14:textId="253051F8">
            <w:pPr>
              <w:pStyle w:val="BText"/>
              <w:spacing w:before="120"/>
              <w:jc w:val="left"/>
              <w:rPr>
                <w:b/>
                <w:bCs/>
              </w:rPr>
            </w:pPr>
            <w:r w:rsidRPr="00A425F8">
              <w:rPr>
                <w:b/>
                <w:bCs/>
              </w:rPr>
              <w:t>Structure of the investment</w:t>
            </w:r>
          </w:p>
        </w:tc>
        <w:tc>
          <w:tcPr>
            <w:tcW w:w="3665" w:type="pct"/>
          </w:tcPr>
          <w:p w:rsidRPr="00A425F8" w:rsidR="00294A11" w:rsidP="00DE15DD" w:rsidRDefault="00DE15DD" w14:paraId="4424FE72" w14:textId="35870B79">
            <w:pPr>
              <w:pBdr>
                <w:top w:val="nil"/>
                <w:left w:val="nil"/>
                <w:bottom w:val="nil"/>
                <w:right w:val="nil"/>
                <w:between w:val="nil"/>
              </w:pBdr>
              <w:tabs>
                <w:tab w:val="left" w:pos="758"/>
                <w:tab w:val="left" w:pos="1232"/>
                <w:tab w:val="left" w:pos="1706"/>
                <w:tab w:val="left" w:pos="2180"/>
                <w:tab w:val="left" w:pos="4712"/>
              </w:tabs>
              <w:ind w:left="2" w:right="34"/>
            </w:pPr>
            <w:r w:rsidRPr="00A425F8">
              <w:rPr>
                <w:rFonts w:eastAsia="Times New Roman"/>
                <w:color w:val="000000"/>
              </w:rPr>
              <w:t>Total size of the equity investments by the Investor</w:t>
            </w:r>
            <w:r w:rsidRPr="00A425F8" w:rsidR="00A425F8">
              <w:rPr>
                <w:rFonts w:eastAsia="Times New Roman"/>
                <w:color w:val="000000"/>
              </w:rPr>
              <w:t>s</w:t>
            </w:r>
            <w:r w:rsidRPr="00A425F8">
              <w:rPr>
                <w:rFonts w:eastAsia="Times New Roman"/>
                <w:color w:val="000000"/>
              </w:rPr>
              <w:t xml:space="preserve"> shall be [</w:t>
            </w:r>
            <w:r w:rsidRPr="00A425F8">
              <w:rPr>
                <w:rFonts w:eastAsia="Times New Roman"/>
                <w:color w:val="000000"/>
                <w:highlight w:val="lightGray"/>
              </w:rPr>
              <w:t>CZK/EUR</w:t>
            </w:r>
            <w:r w:rsidRPr="00A425F8">
              <w:rPr>
                <w:rFonts w:eastAsia="Times New Roman"/>
                <w:color w:val="000000"/>
              </w:rPr>
              <w:t>] [</w:t>
            </w:r>
            <w:r w:rsidRPr="00A425F8" w:rsidR="00A425F8">
              <w:rPr>
                <w:rFonts w:eastAsia="Times New Roman"/>
                <w:i/>
                <w:iCs/>
                <w:color w:val="000000"/>
              </w:rPr>
              <w:t>insert</w:t>
            </w:r>
            <w:r w:rsidRPr="00A425F8">
              <w:rPr>
                <w:rFonts w:eastAsia="Times New Roman"/>
                <w:color w:val="000000"/>
              </w:rPr>
              <w:t xml:space="preserve">] (the </w:t>
            </w:r>
            <w:r w:rsidRPr="00A425F8">
              <w:rPr>
                <w:rFonts w:eastAsia="Times New Roman"/>
                <w:b/>
                <w:bCs/>
                <w:color w:val="000000"/>
              </w:rPr>
              <w:t>Investment</w:t>
            </w:r>
            <w:r w:rsidRPr="00A425F8" w:rsidR="00A425F8">
              <w:rPr>
                <w:rFonts w:eastAsia="Times New Roman"/>
                <w:b/>
                <w:bCs/>
                <w:color w:val="000000"/>
              </w:rPr>
              <w:t>s</w:t>
            </w:r>
            <w:r w:rsidRPr="00A425F8">
              <w:rPr>
                <w:rFonts w:eastAsia="Times New Roman"/>
                <w:color w:val="000000"/>
              </w:rPr>
              <w:t xml:space="preserve">) </w:t>
            </w:r>
            <w:r w:rsidR="006D213A">
              <w:rPr>
                <w:rFonts w:eastAsia="Times New Roman"/>
                <w:color w:val="000000"/>
              </w:rPr>
              <w:t xml:space="preserve">consisting of Investment 1 and Investment 2 </w:t>
            </w:r>
            <w:r w:rsidRPr="00A425F8">
              <w:rPr>
                <w:rFonts w:eastAsia="Times New Roman"/>
                <w:color w:val="000000"/>
              </w:rPr>
              <w:t>and it shall be provided by way of (</w:t>
            </w:r>
            <w:proofErr w:type="spellStart"/>
            <w:r w:rsidRPr="00A425F8">
              <w:rPr>
                <w:rFonts w:eastAsia="Times New Roman"/>
                <w:color w:val="000000"/>
              </w:rPr>
              <w:t>i</w:t>
            </w:r>
            <w:proofErr w:type="spellEnd"/>
            <w:r w:rsidRPr="00A425F8">
              <w:rPr>
                <w:rFonts w:eastAsia="Times New Roman"/>
                <w:color w:val="000000"/>
              </w:rPr>
              <w:t xml:space="preserve">) a monetary contribution to the registered capital of the Company (in Czech </w:t>
            </w:r>
            <w:proofErr w:type="spellStart"/>
            <w:r w:rsidRPr="00A425F8">
              <w:rPr>
                <w:rFonts w:eastAsia="Times New Roman"/>
                <w:i/>
                <w:color w:val="000000"/>
              </w:rPr>
              <w:t>peněžitý</w:t>
            </w:r>
            <w:proofErr w:type="spellEnd"/>
            <w:r w:rsidRPr="00A425F8">
              <w:rPr>
                <w:rFonts w:eastAsia="Times New Roman"/>
                <w:i/>
                <w:color w:val="000000"/>
              </w:rPr>
              <w:t xml:space="preserve"> </w:t>
            </w:r>
            <w:proofErr w:type="spellStart"/>
            <w:r w:rsidRPr="00A425F8">
              <w:rPr>
                <w:rFonts w:eastAsia="Times New Roman"/>
                <w:i/>
                <w:color w:val="000000"/>
              </w:rPr>
              <w:t>vklad</w:t>
            </w:r>
            <w:proofErr w:type="spellEnd"/>
            <w:r w:rsidRPr="00A425F8">
              <w:rPr>
                <w:rFonts w:eastAsia="Times New Roman"/>
                <w:color w:val="000000"/>
              </w:rPr>
              <w:t xml:space="preserve">); and (ii) a monetary contribution outside of the registered capital of the Company (in Czech </w:t>
            </w:r>
            <w:proofErr w:type="spellStart"/>
            <w:r w:rsidRPr="00A425F8">
              <w:rPr>
                <w:rFonts w:eastAsia="Times New Roman"/>
                <w:i/>
                <w:color w:val="000000"/>
              </w:rPr>
              <w:t>příplatek</w:t>
            </w:r>
            <w:proofErr w:type="spellEnd"/>
            <w:r w:rsidRPr="00A425F8">
              <w:rPr>
                <w:rFonts w:eastAsia="Times New Roman"/>
                <w:color w:val="000000"/>
              </w:rPr>
              <w:t>).</w:t>
            </w:r>
          </w:p>
        </w:tc>
      </w:tr>
      <w:tr w:rsidR="00DE15DD" w:rsidTr="00041E41" w14:paraId="2917234D" w14:textId="77777777">
        <w:tc>
          <w:tcPr>
            <w:tcW w:w="1335" w:type="pct"/>
          </w:tcPr>
          <w:p w:rsidR="00DE15DD" w:rsidP="00041E41" w:rsidRDefault="00DE15DD" w14:paraId="6BF0F475" w14:textId="06945A27">
            <w:pPr>
              <w:pStyle w:val="BText"/>
              <w:spacing w:before="120"/>
              <w:jc w:val="left"/>
              <w:rPr>
                <w:b/>
                <w:bCs/>
              </w:rPr>
            </w:pPr>
            <w:r>
              <w:rPr>
                <w:b/>
                <w:bCs/>
              </w:rPr>
              <w:t>Cap Table</w:t>
            </w:r>
          </w:p>
        </w:tc>
        <w:tc>
          <w:tcPr>
            <w:tcW w:w="3665" w:type="pct"/>
          </w:tcPr>
          <w:p w:rsidR="00DE15DD" w:rsidP="00DE15DD" w:rsidRDefault="00DE15DD" w14:paraId="15DF0D8A" w14:textId="368AA895">
            <w:pPr>
              <w:pBdr>
                <w:top w:val="nil"/>
                <w:left w:val="nil"/>
                <w:bottom w:val="nil"/>
                <w:right w:val="nil"/>
                <w:between w:val="nil"/>
              </w:pBdr>
              <w:tabs>
                <w:tab w:val="left" w:pos="758"/>
                <w:tab w:val="left" w:pos="1232"/>
                <w:tab w:val="left" w:pos="1706"/>
                <w:tab w:val="left" w:pos="2180"/>
                <w:tab w:val="left" w:pos="4712"/>
              </w:tabs>
              <w:ind w:left="2" w:right="34"/>
              <w:rPr>
                <w:rFonts w:eastAsia="Times New Roman"/>
                <w:color w:val="000000"/>
              </w:rPr>
            </w:pPr>
            <w:r>
              <w:rPr>
                <w:rFonts w:eastAsia="Times New Roman"/>
                <w:color w:val="000000"/>
              </w:rPr>
              <w:t xml:space="preserve">The Company’s capital structure before and after the closing is set forth </w:t>
            </w:r>
            <w:r w:rsidR="006D213A">
              <w:rPr>
                <w:rFonts w:eastAsia="Times New Roman"/>
                <w:color w:val="000000"/>
              </w:rPr>
              <w:t>below.</w:t>
            </w:r>
          </w:p>
        </w:tc>
      </w:tr>
      <w:tr w:rsidR="00294A11" w:rsidTr="00041E41" w14:paraId="213F435D" w14:textId="77777777">
        <w:tc>
          <w:tcPr>
            <w:tcW w:w="1335" w:type="pct"/>
          </w:tcPr>
          <w:p w:rsidRPr="006B6F36" w:rsidR="00294A11" w:rsidP="00041E41" w:rsidRDefault="00294A11" w14:paraId="3A328294" w14:textId="5013C782">
            <w:pPr>
              <w:pStyle w:val="BText"/>
              <w:spacing w:before="120"/>
              <w:jc w:val="left"/>
              <w:rPr>
                <w:b/>
                <w:bCs/>
              </w:rPr>
            </w:pPr>
            <w:r w:rsidRPr="006B6F36">
              <w:rPr>
                <w:b/>
                <w:bCs/>
              </w:rPr>
              <w:t>Purpose</w:t>
            </w:r>
          </w:p>
        </w:tc>
        <w:tc>
          <w:tcPr>
            <w:tcW w:w="3665" w:type="pct"/>
          </w:tcPr>
          <w:p w:rsidR="00294A11" w:rsidP="00041E41" w:rsidRDefault="00294A11" w14:paraId="3EC83252" w14:textId="17575681">
            <w:pPr>
              <w:pStyle w:val="BText"/>
              <w:spacing w:before="120"/>
              <w:jc w:val="left"/>
            </w:pPr>
            <w:r w:rsidRPr="00E00885">
              <w:t xml:space="preserve">The </w:t>
            </w:r>
            <w:r w:rsidR="00DE15DD">
              <w:t>Investment</w:t>
            </w:r>
            <w:r w:rsidR="00A425F8">
              <w:t>s</w:t>
            </w:r>
            <w:r w:rsidRPr="00E00885">
              <w:t xml:space="preserve"> will be used only for the </w:t>
            </w:r>
            <w:r>
              <w:t>developing the Company’s business</w:t>
            </w:r>
            <w:r>
              <w:rPr>
                <w:rStyle w:val="FootnoteReference"/>
                <w:rFonts w:eastAsia="Times New Roman"/>
              </w:rPr>
              <w:footnoteReference w:id="1"/>
            </w:r>
            <w:r w:rsidRPr="00E00885">
              <w:t>.</w:t>
            </w:r>
          </w:p>
        </w:tc>
      </w:tr>
      <w:tr w:rsidR="00DE15DD" w:rsidTr="00041E41" w14:paraId="3C5E4495" w14:textId="77777777">
        <w:tc>
          <w:tcPr>
            <w:tcW w:w="1335" w:type="pct"/>
          </w:tcPr>
          <w:p w:rsidRPr="006B6F36" w:rsidR="00DE15DD" w:rsidP="00041E41" w:rsidRDefault="00DE15DD" w14:paraId="2B378C17" w14:textId="4A3C70D4">
            <w:pPr>
              <w:pStyle w:val="BText"/>
              <w:spacing w:before="120"/>
              <w:jc w:val="left"/>
              <w:rPr>
                <w:b/>
                <w:bCs/>
              </w:rPr>
            </w:pPr>
            <w:r>
              <w:rPr>
                <w:b/>
                <w:bCs/>
              </w:rPr>
              <w:t>New Shares</w:t>
            </w:r>
          </w:p>
        </w:tc>
        <w:tc>
          <w:tcPr>
            <w:tcW w:w="3665" w:type="pct"/>
          </w:tcPr>
          <w:p w:rsidRPr="00E00885" w:rsidR="00DE15DD" w:rsidP="00041E41" w:rsidRDefault="00DE15DD" w14:paraId="0D060E46" w14:textId="74ECA3E3">
            <w:pPr>
              <w:pStyle w:val="BText"/>
              <w:spacing w:before="120"/>
              <w:jc w:val="left"/>
            </w:pPr>
            <w:r>
              <w:t>In exchange for the Investment</w:t>
            </w:r>
            <w:r w:rsidR="00A425F8">
              <w:t>s</w:t>
            </w:r>
            <w:r>
              <w:t>, the Company shall issue new share</w:t>
            </w:r>
            <w:r w:rsidR="00A425F8">
              <w:t>s</w:t>
            </w:r>
            <w:r>
              <w:t xml:space="preserve"> </w:t>
            </w:r>
            <w:r w:rsidRPr="00DE15DD">
              <w:t xml:space="preserve">(in Czech </w:t>
            </w:r>
            <w:proofErr w:type="spellStart"/>
            <w:r w:rsidRPr="0062721A">
              <w:rPr>
                <w:i/>
                <w:iCs/>
              </w:rPr>
              <w:t>podíl</w:t>
            </w:r>
            <w:r w:rsidR="00A425F8">
              <w:rPr>
                <w:i/>
                <w:iCs/>
              </w:rPr>
              <w:t>y</w:t>
            </w:r>
            <w:proofErr w:type="spellEnd"/>
            <w:r w:rsidRPr="00DE15DD">
              <w:t>) expressed as a percentage or fraction of the Company's registered capita</w:t>
            </w:r>
            <w:r>
              <w:t>l as set out in the Cap Table.</w:t>
            </w:r>
          </w:p>
        </w:tc>
      </w:tr>
      <w:tr w:rsidR="00DE15DD" w:rsidTr="00041E41" w14:paraId="6CF82228" w14:textId="77777777">
        <w:tc>
          <w:tcPr>
            <w:tcW w:w="1335" w:type="pct"/>
          </w:tcPr>
          <w:p w:rsidRPr="006B6F36" w:rsidR="00DE15DD" w:rsidP="00DE15DD" w:rsidRDefault="00DE15DD" w14:paraId="4A05ACF3" w14:textId="4A31B2F8">
            <w:pPr>
              <w:pStyle w:val="BText"/>
              <w:spacing w:before="120"/>
              <w:jc w:val="left"/>
              <w:rPr>
                <w:b/>
                <w:bCs/>
              </w:rPr>
            </w:pPr>
            <w:r>
              <w:rPr>
                <w:rFonts w:eastAsia="Times New Roman"/>
                <w:b/>
                <w:color w:val="000000"/>
              </w:rPr>
              <w:t>Estimated signing date</w:t>
            </w:r>
          </w:p>
        </w:tc>
        <w:tc>
          <w:tcPr>
            <w:tcW w:w="3665" w:type="pct"/>
          </w:tcPr>
          <w:p w:rsidRPr="00DE15DD" w:rsidR="00DE15DD" w:rsidP="00DE15DD" w:rsidRDefault="00DE15DD" w14:paraId="56C8B5ED" w14:textId="12FE684E">
            <w:pPr>
              <w:pStyle w:val="BText"/>
              <w:spacing w:before="120"/>
              <w:jc w:val="left"/>
            </w:pPr>
            <w:r>
              <w:t>[</w:t>
            </w:r>
            <w:r>
              <w:rPr>
                <w:i/>
                <w:iCs/>
              </w:rPr>
              <w:t>insert date</w:t>
            </w:r>
            <w:r>
              <w:t>]</w:t>
            </w:r>
          </w:p>
        </w:tc>
      </w:tr>
      <w:tr w:rsidR="00A425F8" w:rsidTr="00041E41" w14:paraId="544A1A2C" w14:textId="77777777">
        <w:tc>
          <w:tcPr>
            <w:tcW w:w="1335" w:type="pct"/>
          </w:tcPr>
          <w:p w:rsidR="00A425F8" w:rsidP="00A425F8" w:rsidRDefault="00A425F8" w14:paraId="75985F92" w14:textId="04DC77CC">
            <w:pPr>
              <w:pStyle w:val="BText"/>
              <w:spacing w:before="120"/>
              <w:jc w:val="left"/>
              <w:rPr>
                <w:rFonts w:eastAsia="Times New Roman"/>
                <w:b/>
                <w:color w:val="000000"/>
              </w:rPr>
            </w:pPr>
            <w:r w:rsidRPr="006B6F36">
              <w:rPr>
                <w:b/>
                <w:bCs/>
              </w:rPr>
              <w:t>Warranties</w:t>
            </w:r>
          </w:p>
        </w:tc>
        <w:tc>
          <w:tcPr>
            <w:tcW w:w="3665" w:type="pct"/>
          </w:tcPr>
          <w:p w:rsidR="00A425F8" w:rsidP="00A425F8" w:rsidRDefault="00A425F8" w14:paraId="71974BF6" w14:textId="682F85AA">
            <w:pPr>
              <w:pStyle w:val="BText"/>
              <w:spacing w:before="120"/>
              <w:jc w:val="left"/>
            </w:pPr>
            <w:r w:rsidRPr="00E00885">
              <w:rPr>
                <w:rFonts w:eastAsia="Times New Roman"/>
              </w:rPr>
              <w:t xml:space="preserve">The </w:t>
            </w:r>
            <w:r>
              <w:rPr>
                <w:rFonts w:eastAsia="Times New Roman"/>
              </w:rPr>
              <w:t>Equity Investment</w:t>
            </w:r>
            <w:r w:rsidRPr="00E00885">
              <w:rPr>
                <w:rFonts w:eastAsia="Times New Roman"/>
              </w:rPr>
              <w:t xml:space="preserve"> Agreement will include representations and warranties provided by the Company and the Founder[s] customary for the size and industry of the Company and the </w:t>
            </w:r>
            <w:r>
              <w:rPr>
                <w:rFonts w:eastAsia="Times New Roman"/>
              </w:rPr>
              <w:t>Investments</w:t>
            </w:r>
            <w:r w:rsidRPr="00E00885">
              <w:rPr>
                <w:rFonts w:eastAsia="Times New Roman"/>
              </w:rPr>
              <w:t>.</w:t>
            </w:r>
          </w:p>
        </w:tc>
      </w:tr>
      <w:tr w:rsidR="00A425F8" w:rsidTr="00041E41" w14:paraId="2C0B4F10" w14:textId="77777777">
        <w:tc>
          <w:tcPr>
            <w:tcW w:w="1335" w:type="pct"/>
          </w:tcPr>
          <w:p w:rsidR="00A425F8" w:rsidP="00A425F8" w:rsidRDefault="00A425F8" w14:paraId="23FF68F2" w14:textId="30387A9D">
            <w:pPr>
              <w:pStyle w:val="BText"/>
              <w:spacing w:before="120"/>
              <w:jc w:val="left"/>
              <w:rPr>
                <w:rFonts w:eastAsia="Times New Roman"/>
                <w:b/>
                <w:color w:val="000000"/>
              </w:rPr>
            </w:pPr>
            <w:r w:rsidRPr="001D01C8">
              <w:rPr>
                <w:rFonts w:eastAsia="Times New Roman"/>
                <w:b/>
                <w:color w:val="000000"/>
              </w:rPr>
              <w:t>Withdrawal by the Company</w:t>
            </w:r>
            <w:r>
              <w:rPr>
                <w:rFonts w:eastAsia="Times New Roman"/>
                <w:b/>
                <w:color w:val="000000"/>
              </w:rPr>
              <w:t xml:space="preserve"> and contractual penalty</w:t>
            </w:r>
          </w:p>
        </w:tc>
        <w:tc>
          <w:tcPr>
            <w:tcW w:w="3665" w:type="pct"/>
          </w:tcPr>
          <w:p w:rsidR="00A425F8" w:rsidP="00A425F8" w:rsidRDefault="00A425F8" w14:paraId="1869C084" w14:textId="167D8A98">
            <w:pPr>
              <w:pStyle w:val="BText"/>
              <w:spacing w:before="120"/>
              <w:jc w:val="left"/>
            </w:pPr>
            <w:r w:rsidRPr="001D01C8">
              <w:t>If the default of all Investments amounts to at least [insert]</w:t>
            </w:r>
            <w:r>
              <w:rPr>
                <w:rStyle w:val="FootnoteReference"/>
              </w:rPr>
              <w:footnoteReference w:id="2"/>
            </w:r>
            <w:r w:rsidRPr="001D01C8">
              <w:t xml:space="preserve"> %, the Company shall have the right to withdraw from the Equity Investment Agreement with respect to all Investors</w:t>
            </w:r>
            <w:r>
              <w:t xml:space="preserve">. </w:t>
            </w:r>
            <w:r w:rsidRPr="006A01A9">
              <w:t>If</w:t>
            </w:r>
            <w:r w:rsidRPr="006A01A9">
              <w:rPr>
                <w:color w:val="000000"/>
              </w:rPr>
              <w:t xml:space="preserve"> the Company withdraws</w:t>
            </w:r>
            <w:r>
              <w:rPr>
                <w:color w:val="000000"/>
              </w:rPr>
              <w:t xml:space="preserve"> for such Investor default, the Company </w:t>
            </w:r>
            <w:r w:rsidRPr="006A01A9">
              <w:rPr>
                <w:color w:val="000000"/>
              </w:rPr>
              <w:t xml:space="preserve">shall have the right </w:t>
            </w:r>
            <w:r w:rsidRPr="006A01A9">
              <w:t>to</w:t>
            </w:r>
            <w:r w:rsidRPr="006A01A9">
              <w:rPr>
                <w:color w:val="000000"/>
              </w:rPr>
              <w:t xml:space="preserve"> claim from each defaulting Investor a contractual penalty of [</w:t>
            </w:r>
            <w:proofErr w:type="gramStart"/>
            <w:r w:rsidRPr="006A01A9">
              <w:rPr>
                <w:color w:val="000000"/>
              </w:rPr>
              <w:t>20]%</w:t>
            </w:r>
            <w:proofErr w:type="gramEnd"/>
            <w:r w:rsidRPr="006A01A9">
              <w:rPr>
                <w:color w:val="000000"/>
              </w:rPr>
              <w:t xml:space="preserve"> of the Investment</w:t>
            </w:r>
            <w:r>
              <w:rPr>
                <w:color w:val="000000"/>
              </w:rPr>
              <w:t xml:space="preserve"> that such defaulting Investor has agreed to make.</w:t>
            </w:r>
          </w:p>
        </w:tc>
      </w:tr>
      <w:tr w:rsidR="00A425F8" w:rsidTr="00041E41" w14:paraId="4DCAA3BA" w14:textId="77777777">
        <w:tc>
          <w:tcPr>
            <w:tcW w:w="1335" w:type="pct"/>
          </w:tcPr>
          <w:p w:rsidRPr="006B6F36" w:rsidR="00A425F8" w:rsidP="00A425F8" w:rsidRDefault="00A425F8" w14:paraId="4F682C3D" w14:textId="44B9485E">
            <w:pPr>
              <w:pStyle w:val="BText"/>
              <w:spacing w:before="120"/>
              <w:jc w:val="left"/>
              <w:rPr>
                <w:b/>
                <w:bCs/>
              </w:rPr>
            </w:pPr>
            <w:r>
              <w:rPr>
                <w:b/>
                <w:bCs/>
              </w:rPr>
              <w:t>Post-Closing Obligations</w:t>
            </w:r>
            <w:r>
              <w:rPr>
                <w:rStyle w:val="FootnoteReference"/>
                <w:b/>
                <w:bCs/>
              </w:rPr>
              <w:footnoteReference w:id="3"/>
            </w:r>
          </w:p>
        </w:tc>
        <w:tc>
          <w:tcPr>
            <w:tcW w:w="3665" w:type="pct"/>
          </w:tcPr>
          <w:p w:rsidRPr="00E00885" w:rsidR="00A425F8" w:rsidP="00A425F8" w:rsidRDefault="00A425F8" w14:paraId="6A760C81" w14:textId="26672471">
            <w:pPr>
              <w:pStyle w:val="AltOutNum3"/>
              <w:numPr>
                <w:ilvl w:val="0"/>
                <w:numId w:val="0"/>
              </w:numPr>
              <w:spacing w:before="120"/>
              <w:jc w:val="left"/>
            </w:pPr>
            <w:r>
              <w:t>[</w:t>
            </w:r>
            <w:r w:rsidRPr="0062721A">
              <w:rPr>
                <w:i/>
                <w:iCs/>
              </w:rPr>
              <w:t>To be inserted</w:t>
            </w:r>
            <w:r>
              <w:t xml:space="preserve">] </w:t>
            </w:r>
          </w:p>
        </w:tc>
      </w:tr>
      <w:tr w:rsidR="00A425F8" w:rsidTr="00041E41" w14:paraId="4320DD5F" w14:textId="77777777">
        <w:tc>
          <w:tcPr>
            <w:tcW w:w="1335" w:type="pct"/>
          </w:tcPr>
          <w:p w:rsidRPr="0062721A" w:rsidR="00A425F8" w:rsidP="00A425F8" w:rsidRDefault="00A425F8" w14:paraId="20ACE271" w14:textId="1110CFCF">
            <w:pPr>
              <w:pStyle w:val="BText"/>
              <w:spacing w:before="120"/>
              <w:jc w:val="left"/>
              <w:rPr>
                <w:b/>
                <w:bCs/>
              </w:rPr>
            </w:pPr>
            <w:r w:rsidRPr="0062721A">
              <w:rPr>
                <w:b/>
                <w:bCs/>
              </w:rPr>
              <w:t>Anti-dilution protection</w:t>
            </w:r>
          </w:p>
        </w:tc>
        <w:tc>
          <w:tcPr>
            <w:tcW w:w="3665" w:type="pct"/>
          </w:tcPr>
          <w:p w:rsidRPr="00E00885" w:rsidR="00A425F8" w:rsidP="00A425F8" w:rsidRDefault="00A425F8" w14:paraId="2377B9D5" w14:textId="4D00EB3A">
            <w:pPr>
              <w:pStyle w:val="BText"/>
              <w:spacing w:before="120"/>
              <w:jc w:val="left"/>
            </w:pPr>
            <w:r w:rsidRPr="00C44E7F">
              <w:t>The Investors shall be protected against dilution of their Investments by increase in the Investor's shares by an amount which shall be calculated applying [broad-based weighted-average ratchet / full ratchet / narrow-based weighted average ratchet anti-dilution protection].</w:t>
            </w:r>
          </w:p>
        </w:tc>
      </w:tr>
      <w:tr w:rsidR="00A425F8" w:rsidTr="00041E41" w14:paraId="7A972677" w14:textId="77777777">
        <w:tc>
          <w:tcPr>
            <w:tcW w:w="1335" w:type="pct"/>
          </w:tcPr>
          <w:p w:rsidRPr="0062721A" w:rsidR="00A425F8" w:rsidP="00A425F8" w:rsidRDefault="00A425F8" w14:paraId="381F092A" w14:textId="4CCC70C7">
            <w:pPr>
              <w:pStyle w:val="BText"/>
              <w:spacing w:before="120"/>
              <w:jc w:val="left"/>
              <w:rPr>
                <w:b/>
                <w:bCs/>
              </w:rPr>
            </w:pPr>
            <w:r>
              <w:rPr>
                <w:b/>
                <w:bCs/>
              </w:rPr>
              <w:lastRenderedPageBreak/>
              <w:t xml:space="preserve">Investor Majority and </w:t>
            </w:r>
            <w:r w:rsidR="005452B2">
              <w:rPr>
                <w:b/>
                <w:bCs/>
              </w:rPr>
              <w:t>Investor Majority</w:t>
            </w:r>
            <w:r>
              <w:rPr>
                <w:b/>
                <w:bCs/>
              </w:rPr>
              <w:t xml:space="preserve"> Matters</w:t>
            </w:r>
          </w:p>
        </w:tc>
        <w:tc>
          <w:tcPr>
            <w:tcW w:w="3665" w:type="pct"/>
          </w:tcPr>
          <w:p w:rsidR="00A425F8" w:rsidP="00A425F8" w:rsidRDefault="00A425F8" w14:paraId="14677EA7" w14:textId="5C0E8D10">
            <w:pPr>
              <w:pStyle w:val="BText"/>
              <w:spacing w:before="120"/>
              <w:jc w:val="left"/>
            </w:pPr>
            <w:r>
              <w:t>The Investor Majority means Investors who hold at least [</w:t>
            </w:r>
            <w:proofErr w:type="gramStart"/>
            <w:r>
              <w:t>50]%</w:t>
            </w:r>
            <w:proofErr w:type="gramEnd"/>
            <w:r>
              <w:t xml:space="preserve"> of all shares held by the Investors. </w:t>
            </w:r>
          </w:p>
          <w:p w:rsidRPr="00C037D1" w:rsidR="00A425F8" w:rsidP="00A425F8" w:rsidRDefault="00A425F8" w14:paraId="19AF7138" w14:textId="71DFC9C5">
            <w:pPr>
              <w:pStyle w:val="BText"/>
              <w:spacing w:before="120"/>
              <w:jc w:val="left"/>
            </w:pPr>
            <w:r>
              <w:t>Prior approval of the Investor Majority is required in particular: [</w:t>
            </w:r>
            <w:r>
              <w:rPr>
                <w:i/>
                <w:iCs/>
              </w:rPr>
              <w:t>insert</w:t>
            </w:r>
            <w:r>
              <w:t>]</w:t>
            </w:r>
            <w:r>
              <w:rPr>
                <w:rStyle w:val="FootnoteReference"/>
              </w:rPr>
              <w:footnoteReference w:id="4"/>
            </w:r>
          </w:p>
        </w:tc>
      </w:tr>
      <w:tr w:rsidR="00A425F8" w:rsidTr="00041E41" w14:paraId="5BBC3315" w14:textId="77777777">
        <w:tc>
          <w:tcPr>
            <w:tcW w:w="1335" w:type="pct"/>
          </w:tcPr>
          <w:p w:rsidRPr="006B6F36" w:rsidR="00A425F8" w:rsidP="00A425F8" w:rsidRDefault="00A425F8" w14:paraId="57B35E5D" w14:textId="3D52283A">
            <w:pPr>
              <w:pStyle w:val="BText"/>
              <w:spacing w:before="120"/>
              <w:jc w:val="left"/>
              <w:rPr>
                <w:b/>
                <w:bCs/>
              </w:rPr>
            </w:pPr>
            <w:r w:rsidRPr="00C037D1">
              <w:rPr>
                <w:b/>
                <w:bCs/>
              </w:rPr>
              <w:t>Pre-emptive (priority) right</w:t>
            </w:r>
          </w:p>
        </w:tc>
        <w:tc>
          <w:tcPr>
            <w:tcW w:w="3665" w:type="pct"/>
          </w:tcPr>
          <w:p w:rsidRPr="00E00885" w:rsidR="00A425F8" w:rsidP="00A425F8" w:rsidRDefault="00A425F8" w14:paraId="173808F4" w14:textId="379D09FE">
            <w:pPr>
              <w:pStyle w:val="BText"/>
              <w:spacing w:before="120"/>
              <w:jc w:val="left"/>
              <w:rPr>
                <w:rFonts w:eastAsia="Times New Roman"/>
              </w:rPr>
            </w:pPr>
            <w:r w:rsidRPr="00FB367C">
              <w:rPr>
                <w:rFonts w:eastAsia="Times New Roman"/>
              </w:rPr>
              <w:t>All shareholders shall have a priority pro rata right to participate in subsequent funding rounds of the Company (i.e., to subscribe for new shares issued in the subsequent funding under the same conditions offered to new investors to maintain the size of their shareholding prior to the subsequent funding round).</w:t>
            </w:r>
          </w:p>
        </w:tc>
      </w:tr>
      <w:tr w:rsidR="00A425F8" w:rsidTr="00041E41" w14:paraId="13AEDFB8" w14:textId="77777777">
        <w:tc>
          <w:tcPr>
            <w:tcW w:w="1335" w:type="pct"/>
          </w:tcPr>
          <w:p w:rsidRPr="006B6F36" w:rsidR="00A425F8" w:rsidP="00A425F8" w:rsidRDefault="00A425F8" w14:paraId="62812313" w14:textId="5A506B8F">
            <w:pPr>
              <w:pStyle w:val="BText"/>
              <w:spacing w:before="120"/>
              <w:jc w:val="left"/>
              <w:rPr>
                <w:b/>
                <w:bCs/>
              </w:rPr>
            </w:pPr>
            <w:r w:rsidRPr="00FB367C">
              <w:rPr>
                <w:b/>
                <w:bCs/>
              </w:rPr>
              <w:t>Right of First Refusal</w:t>
            </w:r>
          </w:p>
        </w:tc>
        <w:tc>
          <w:tcPr>
            <w:tcW w:w="3665" w:type="pct"/>
          </w:tcPr>
          <w:p w:rsidRPr="00E00885" w:rsidR="00A425F8" w:rsidP="00A425F8" w:rsidRDefault="00A425F8" w14:paraId="0F2B858B" w14:textId="6278B1B3">
            <w:pPr>
              <w:pStyle w:val="BText"/>
              <w:spacing w:before="120"/>
              <w:jc w:val="left"/>
              <w:rPr>
                <w:rFonts w:eastAsia="Times New Roman"/>
              </w:rPr>
            </w:pPr>
            <w:r w:rsidRPr="00FB367C">
              <w:rPr>
                <w:rFonts w:eastAsia="Times New Roman"/>
              </w:rPr>
              <w:t>All shareholders shall have a pro rata right to acquire share of the Company or part thereof which is proposed to be transferred to a third party on the same terms and conditions (including price) as such share is being offered to a third party.</w:t>
            </w:r>
          </w:p>
        </w:tc>
      </w:tr>
      <w:tr w:rsidR="00A425F8" w:rsidTr="00041E41" w14:paraId="21B1F69A" w14:textId="77777777">
        <w:tc>
          <w:tcPr>
            <w:tcW w:w="1335" w:type="pct"/>
          </w:tcPr>
          <w:p w:rsidRPr="00FB367C" w:rsidR="00A425F8" w:rsidP="00A425F8" w:rsidRDefault="00A425F8" w14:paraId="3E66873E" w14:textId="601585C9">
            <w:pPr>
              <w:pStyle w:val="BText"/>
              <w:spacing w:before="120"/>
              <w:jc w:val="left"/>
              <w:rPr>
                <w:b/>
                <w:bCs/>
              </w:rPr>
            </w:pPr>
            <w:r w:rsidRPr="00FB367C">
              <w:rPr>
                <w:b/>
                <w:bCs/>
              </w:rPr>
              <w:t>Drag-along right</w:t>
            </w:r>
          </w:p>
        </w:tc>
        <w:tc>
          <w:tcPr>
            <w:tcW w:w="3665" w:type="pct"/>
          </w:tcPr>
          <w:p w:rsidRPr="00FB367C" w:rsidR="00A425F8" w:rsidP="00A425F8" w:rsidRDefault="00A425F8" w14:paraId="7E5F1B94" w14:textId="5D2B40B9">
            <w:pPr>
              <w:pStyle w:val="BText"/>
              <w:spacing w:before="120"/>
              <w:jc w:val="left"/>
              <w:rPr>
                <w:rFonts w:eastAsia="Times New Roman"/>
              </w:rPr>
            </w:pPr>
            <w:r w:rsidRPr="0046572F">
              <w:t xml:space="preserve">If the Investor Majority and the </w:t>
            </w:r>
            <w:r>
              <w:t>Founder</w:t>
            </w:r>
            <w:r w:rsidRPr="0046572F">
              <w:t xml:space="preserve"> </w:t>
            </w:r>
            <w:r>
              <w:t>M</w:t>
            </w:r>
            <w:r w:rsidRPr="0046572F">
              <w:t xml:space="preserve">ajority (the </w:t>
            </w:r>
            <w:r w:rsidRPr="00FB367C">
              <w:rPr>
                <w:b/>
                <w:bCs/>
              </w:rPr>
              <w:t>Drag Along Majority</w:t>
            </w:r>
            <w:r w:rsidRPr="0046572F">
              <w:t xml:space="preserve">) wish to accept an offer to sell all (100%) shares of the Company to a third party, then the Drag Along Majority shall have the right to require, that all </w:t>
            </w:r>
            <w:r>
              <w:t xml:space="preserve">the other </w:t>
            </w:r>
            <w:r w:rsidRPr="0046572F">
              <w:t xml:space="preserve">Company’s shareholders sell </w:t>
            </w:r>
            <w:proofErr w:type="gramStart"/>
            <w:r w:rsidRPr="0046572F">
              <w:t>all of</w:t>
            </w:r>
            <w:proofErr w:type="gramEnd"/>
            <w:r w:rsidRPr="0046572F">
              <w:t xml:space="preserve"> their shares on the same terms and conditions.</w:t>
            </w:r>
          </w:p>
        </w:tc>
      </w:tr>
      <w:tr w:rsidR="00A425F8" w:rsidTr="00041E41" w14:paraId="15BD5F1E" w14:textId="77777777">
        <w:tc>
          <w:tcPr>
            <w:tcW w:w="1335" w:type="pct"/>
          </w:tcPr>
          <w:p w:rsidRPr="00710201" w:rsidR="00A425F8" w:rsidP="00A425F8" w:rsidRDefault="003F6ABF" w14:paraId="4F7E60F1" w14:textId="23F235BB">
            <w:pPr>
              <w:pStyle w:val="BText"/>
              <w:spacing w:before="120"/>
              <w:jc w:val="left"/>
              <w:rPr>
                <w:b/>
                <w:bCs/>
              </w:rPr>
            </w:pPr>
            <w:r w:rsidRPr="00710201">
              <w:rPr>
                <w:b/>
                <w:bCs/>
              </w:rPr>
              <w:t>Tag-along</w:t>
            </w:r>
            <w:r w:rsidRPr="00710201" w:rsidR="00A425F8">
              <w:rPr>
                <w:b/>
                <w:bCs/>
              </w:rPr>
              <w:t xml:space="preserve"> Right</w:t>
            </w:r>
          </w:p>
        </w:tc>
        <w:tc>
          <w:tcPr>
            <w:tcW w:w="3665" w:type="pct"/>
          </w:tcPr>
          <w:p w:rsidRPr="00710201" w:rsidR="00A425F8" w:rsidP="00A425F8" w:rsidRDefault="00A425F8" w14:paraId="3E59CA94" w14:textId="5DC7FCCA">
            <w:pPr>
              <w:pStyle w:val="BText"/>
              <w:spacing w:before="120"/>
              <w:jc w:val="left"/>
              <w:rPr>
                <w:rFonts w:eastAsia="Times New Roman"/>
              </w:rPr>
            </w:pPr>
            <w:r w:rsidRPr="00710201">
              <w:rPr>
                <w:rFonts w:eastAsia="Times New Roman"/>
              </w:rPr>
              <w:t xml:space="preserve">The shareholders shall have a co-sale right such that if a </w:t>
            </w:r>
            <w:r w:rsidRPr="00710201" w:rsidR="00710201">
              <w:rPr>
                <w:rFonts w:eastAsia="Times New Roman"/>
              </w:rPr>
              <w:t>Founder</w:t>
            </w:r>
            <w:r w:rsidRPr="00710201">
              <w:rPr>
                <w:rFonts w:eastAsia="Times New Roman"/>
              </w:rPr>
              <w:t xml:space="preserve"> wishes to sell </w:t>
            </w:r>
            <w:r w:rsidRPr="00710201" w:rsidR="00710201">
              <w:rPr>
                <w:rFonts w:eastAsia="Times New Roman"/>
              </w:rPr>
              <w:t>its share</w:t>
            </w:r>
            <w:r w:rsidRPr="00710201">
              <w:rPr>
                <w:rFonts w:eastAsia="Times New Roman"/>
              </w:rPr>
              <w:t xml:space="preserve"> or part thereof, the other shareholders shall have the opportunity to sell </w:t>
            </w:r>
            <w:r w:rsidRPr="00710201" w:rsidR="00710201">
              <w:rPr>
                <w:rFonts w:eastAsia="Times New Roman"/>
              </w:rPr>
              <w:t>a</w:t>
            </w:r>
            <w:r w:rsidRPr="00710201">
              <w:rPr>
                <w:rFonts w:eastAsia="Times New Roman"/>
              </w:rPr>
              <w:t xml:space="preserve"> pro rata proportion of their shares simultaneously with </w:t>
            </w:r>
            <w:r w:rsidRPr="00710201" w:rsidR="00710201">
              <w:rPr>
                <w:rFonts w:eastAsia="Times New Roman"/>
              </w:rPr>
              <w:t>the transferring Founder and under</w:t>
            </w:r>
            <w:r w:rsidRPr="00710201">
              <w:rPr>
                <w:rFonts w:eastAsia="Times New Roman"/>
              </w:rPr>
              <w:t xml:space="preserve"> the same terms and conditions of such a transfer.</w:t>
            </w:r>
          </w:p>
        </w:tc>
      </w:tr>
      <w:tr w:rsidR="00A425F8" w:rsidTr="00041E41" w14:paraId="7F996B07" w14:textId="77777777">
        <w:tc>
          <w:tcPr>
            <w:tcW w:w="1335" w:type="pct"/>
          </w:tcPr>
          <w:p w:rsidRPr="006B6F36" w:rsidR="00A425F8" w:rsidP="00A425F8" w:rsidRDefault="00A425F8" w14:paraId="12DBF656" w14:textId="0F33CC05">
            <w:pPr>
              <w:pStyle w:val="BText"/>
              <w:spacing w:before="120"/>
              <w:jc w:val="left"/>
              <w:rPr>
                <w:b/>
                <w:bCs/>
              </w:rPr>
            </w:pPr>
            <w:r w:rsidRPr="00A425F8">
              <w:rPr>
                <w:b/>
                <w:bCs/>
              </w:rPr>
              <w:t>Reverse Vesting</w:t>
            </w:r>
          </w:p>
        </w:tc>
        <w:tc>
          <w:tcPr>
            <w:tcW w:w="3665" w:type="pct"/>
          </w:tcPr>
          <w:p w:rsidRPr="00E00885" w:rsidR="00A425F8" w:rsidP="00A425F8" w:rsidRDefault="00A425F8" w14:paraId="1B8605CE" w14:textId="73177AE2">
            <w:pPr>
              <w:pStyle w:val="BText"/>
              <w:spacing w:before="120"/>
              <w:jc w:val="left"/>
              <w:rPr>
                <w:rFonts w:eastAsia="Times New Roman"/>
              </w:rPr>
            </w:pPr>
            <w:r w:rsidRPr="00A425F8">
              <w:rPr>
                <w:rFonts w:eastAsia="Times New Roman"/>
              </w:rPr>
              <w:t xml:space="preserve">The vesting period for </w:t>
            </w:r>
            <w:r>
              <w:rPr>
                <w:rFonts w:eastAsia="Times New Roman"/>
              </w:rPr>
              <w:t xml:space="preserve">the </w:t>
            </w:r>
            <w:r w:rsidRPr="00A425F8">
              <w:rPr>
                <w:rFonts w:eastAsia="Times New Roman"/>
              </w:rPr>
              <w:t>Founders’ Shares shall be [</w:t>
            </w:r>
            <w:r w:rsidRPr="00A425F8">
              <w:rPr>
                <w:rFonts w:eastAsia="Times New Roman"/>
                <w:i/>
                <w:iCs/>
              </w:rPr>
              <w:t>number</w:t>
            </w:r>
            <w:r w:rsidRPr="00A425F8">
              <w:rPr>
                <w:rFonts w:eastAsia="Times New Roman"/>
              </w:rPr>
              <w:t xml:space="preserve">] years from the Effective date as set out in the Shareholders’ Agreement (the </w:t>
            </w:r>
            <w:r w:rsidRPr="00A425F8">
              <w:rPr>
                <w:rFonts w:eastAsia="Times New Roman"/>
                <w:b/>
                <w:bCs/>
              </w:rPr>
              <w:t>Effective</w:t>
            </w:r>
            <w:r w:rsidRPr="00A425F8">
              <w:rPr>
                <w:rFonts w:eastAsia="Times New Roman"/>
              </w:rPr>
              <w:t xml:space="preserve"> </w:t>
            </w:r>
            <w:r w:rsidRPr="00A425F8">
              <w:rPr>
                <w:rFonts w:eastAsia="Times New Roman"/>
                <w:b/>
                <w:bCs/>
              </w:rPr>
              <w:t>Date</w:t>
            </w:r>
            <w:r w:rsidRPr="00A425F8">
              <w:rPr>
                <w:rFonts w:eastAsia="Times New Roman"/>
              </w:rPr>
              <w:t xml:space="preserve">). [25] % of Founders’ Shares shall vest on the first anniversary of the Effective Date. The remaining [75] % shall vest monthly in equal instalments over the following [remaining period] years (the </w:t>
            </w:r>
            <w:r w:rsidRPr="00A425F8">
              <w:rPr>
                <w:rFonts w:eastAsia="Times New Roman"/>
                <w:b/>
                <w:bCs/>
              </w:rPr>
              <w:t>Vesting Period</w:t>
            </w:r>
            <w:r w:rsidRPr="00A425F8">
              <w:rPr>
                <w:rFonts w:eastAsia="Times New Roman"/>
              </w:rPr>
              <w:t>).</w:t>
            </w:r>
          </w:p>
        </w:tc>
      </w:tr>
      <w:tr w:rsidR="00A425F8" w:rsidTr="00041E41" w14:paraId="72E9772B" w14:textId="77777777">
        <w:tc>
          <w:tcPr>
            <w:tcW w:w="1335" w:type="pct"/>
          </w:tcPr>
          <w:p w:rsidRPr="006B6F36" w:rsidR="00A425F8" w:rsidP="00A425F8" w:rsidRDefault="00A425F8" w14:paraId="411926E2" w14:textId="654B9EB8">
            <w:pPr>
              <w:pStyle w:val="BText"/>
              <w:spacing w:before="120"/>
              <w:jc w:val="left"/>
              <w:rPr>
                <w:b/>
                <w:bCs/>
              </w:rPr>
            </w:pPr>
            <w:r>
              <w:rPr>
                <w:b/>
                <w:bCs/>
              </w:rPr>
              <w:t>Good Leaver and Bad Leaver</w:t>
            </w:r>
          </w:p>
        </w:tc>
        <w:tc>
          <w:tcPr>
            <w:tcW w:w="3665" w:type="pct"/>
          </w:tcPr>
          <w:p w:rsidRPr="00A425F8" w:rsidR="00A425F8" w:rsidP="00A425F8" w:rsidRDefault="00A425F8" w14:paraId="73C3C38A" w14:textId="6F8EF963">
            <w:pPr>
              <w:pStyle w:val="BText"/>
              <w:spacing w:before="120"/>
              <w:jc w:val="left"/>
              <w:rPr>
                <w:rFonts w:eastAsia="Times New Roman"/>
              </w:rPr>
            </w:pPr>
            <w:r w:rsidRPr="00A425F8">
              <w:rPr>
                <w:rFonts w:eastAsia="Times New Roman"/>
              </w:rPr>
              <w:t xml:space="preserve">If the Founder voluntarily resigns or its professional relationship towards the Company is terminated for cause (which will be specified in the Shareholders’ Agreement) during the Vesting Period, the Founder becomes a Bad Leaver and [the Investors on the pro rata basis to their Shares or in any other proportion as may be agreed between the Investors / all the other Shareholders on the pro rata basis to their Shares or in any other proportion as may be agreed between such Shareholders] (the </w:t>
            </w:r>
            <w:r w:rsidRPr="00A425F8">
              <w:rPr>
                <w:rFonts w:eastAsia="Times New Roman"/>
                <w:b/>
                <w:bCs/>
              </w:rPr>
              <w:t>Entitled Acquirer</w:t>
            </w:r>
            <w:r w:rsidRPr="00A425F8">
              <w:rPr>
                <w:rFonts w:eastAsia="Times New Roman"/>
              </w:rPr>
              <w:t>) shall have the right to acquire all Shares from such Founder either for [CZK/EUR] [1] or for the purchase price determined by the Entitled Acquirer.</w:t>
            </w:r>
          </w:p>
          <w:p w:rsidRPr="00A425F8" w:rsidR="00A425F8" w:rsidP="00A425F8" w:rsidRDefault="00A425F8" w14:paraId="38316CFC" w14:textId="77777777">
            <w:pPr>
              <w:pStyle w:val="BText"/>
              <w:spacing w:before="120"/>
              <w:jc w:val="left"/>
              <w:rPr>
                <w:rFonts w:eastAsia="Times New Roman"/>
              </w:rPr>
            </w:pPr>
            <w:r w:rsidRPr="00A425F8">
              <w:rPr>
                <w:rFonts w:eastAsia="Times New Roman"/>
              </w:rPr>
              <w:t>The Founder becomes a Good Leaver if it’s professional relationship towards the Company is terminated in circumstances where the Founder is not a Bad Leaver. In such case, the Entitled Acquirer shall have the right to acquire from such Founder:</w:t>
            </w:r>
          </w:p>
          <w:p w:rsidRPr="00A425F8" w:rsidR="00A425F8" w:rsidP="00A425F8" w:rsidRDefault="00A425F8" w14:paraId="5B2ED018" w14:textId="77777777">
            <w:pPr>
              <w:pStyle w:val="BText"/>
              <w:spacing w:before="120"/>
              <w:jc w:val="left"/>
              <w:rPr>
                <w:rFonts w:eastAsia="Times New Roman"/>
              </w:rPr>
            </w:pPr>
            <w:r w:rsidRPr="00A425F8">
              <w:rPr>
                <w:rFonts w:eastAsia="Times New Roman"/>
              </w:rPr>
              <w:t>a)</w:t>
            </w:r>
            <w:r w:rsidRPr="00A425F8">
              <w:rPr>
                <w:rFonts w:eastAsia="Times New Roman"/>
              </w:rPr>
              <w:tab/>
            </w:r>
            <w:proofErr w:type="gramStart"/>
            <w:r w:rsidRPr="00A425F8">
              <w:rPr>
                <w:rFonts w:eastAsia="Times New Roman"/>
              </w:rPr>
              <w:t>all of</w:t>
            </w:r>
            <w:proofErr w:type="gramEnd"/>
            <w:r w:rsidRPr="00A425F8">
              <w:rPr>
                <w:rFonts w:eastAsia="Times New Roman"/>
              </w:rPr>
              <w:t xml:space="preserve"> the Founder’s unvested Shares for CZK [CZK/EUR] [1] or for the purchase price determined by the Entitled Acquirer, as elected by the Entitled Acquirer; and </w:t>
            </w:r>
          </w:p>
          <w:p w:rsidRPr="00E00885" w:rsidR="00A425F8" w:rsidP="00A425F8" w:rsidRDefault="00A425F8" w14:paraId="7CF58B2F" w14:textId="2DF20CAD">
            <w:pPr>
              <w:pStyle w:val="BText"/>
              <w:spacing w:before="120"/>
              <w:jc w:val="left"/>
              <w:rPr>
                <w:rFonts w:eastAsia="Times New Roman"/>
              </w:rPr>
            </w:pPr>
            <w:r w:rsidRPr="00A425F8">
              <w:rPr>
                <w:rFonts w:eastAsia="Times New Roman"/>
              </w:rPr>
              <w:lastRenderedPageBreak/>
              <w:t>b)</w:t>
            </w:r>
            <w:r w:rsidRPr="00A425F8">
              <w:rPr>
                <w:rFonts w:eastAsia="Times New Roman"/>
              </w:rPr>
              <w:tab/>
            </w:r>
            <w:proofErr w:type="gramStart"/>
            <w:r w:rsidRPr="00A425F8">
              <w:rPr>
                <w:rFonts w:eastAsia="Times New Roman"/>
              </w:rPr>
              <w:t>all of</w:t>
            </w:r>
            <w:proofErr w:type="gramEnd"/>
            <w:r w:rsidRPr="00A425F8">
              <w:rPr>
                <w:rFonts w:eastAsia="Times New Roman"/>
              </w:rPr>
              <w:t xml:space="preserve"> the Founder’s vested Shares against the payment of a purchase price equal to the fair value for such Shares.</w:t>
            </w:r>
          </w:p>
        </w:tc>
      </w:tr>
      <w:tr w:rsidR="00A425F8" w:rsidTr="00041E41" w14:paraId="6A1FD93B" w14:textId="77777777">
        <w:tc>
          <w:tcPr>
            <w:tcW w:w="1335" w:type="pct"/>
          </w:tcPr>
          <w:p w:rsidRPr="006B6F36" w:rsidR="00A425F8" w:rsidP="00A425F8" w:rsidRDefault="00A425F8" w14:paraId="35FE36E8" w14:textId="76250B9D">
            <w:pPr>
              <w:pStyle w:val="BText"/>
              <w:spacing w:before="120"/>
              <w:jc w:val="left"/>
              <w:rPr>
                <w:b/>
                <w:bCs/>
              </w:rPr>
            </w:pPr>
            <w:r>
              <w:rPr>
                <w:b/>
                <w:bCs/>
              </w:rPr>
              <w:lastRenderedPageBreak/>
              <w:t>Executive directors</w:t>
            </w:r>
          </w:p>
        </w:tc>
        <w:tc>
          <w:tcPr>
            <w:tcW w:w="3665" w:type="pct"/>
          </w:tcPr>
          <w:p w:rsidR="00A425F8" w:rsidP="00A425F8" w:rsidRDefault="00A425F8" w14:paraId="221F9FDB" w14:textId="77777777">
            <w:pPr>
              <w:pStyle w:val="BText"/>
              <w:spacing w:before="120"/>
              <w:jc w:val="left"/>
              <w:rPr>
                <w:rFonts w:eastAsia="Times New Roman"/>
              </w:rPr>
            </w:pPr>
            <w:r w:rsidRPr="00A425F8">
              <w:rPr>
                <w:rFonts w:eastAsia="Times New Roman"/>
              </w:rPr>
              <w:t>The Company shall have [</w:t>
            </w:r>
            <w:r w:rsidRPr="00A425F8">
              <w:rPr>
                <w:rFonts w:eastAsia="Times New Roman"/>
                <w:i/>
                <w:iCs/>
              </w:rPr>
              <w:t>number</w:t>
            </w:r>
            <w:r w:rsidRPr="00A425F8">
              <w:rPr>
                <w:rFonts w:eastAsia="Times New Roman"/>
              </w:rPr>
              <w:t>] Executive Directors. The Executive Directors shall be appointed or elected as follows</w:t>
            </w:r>
            <w:r>
              <w:rPr>
                <w:rFonts w:eastAsia="Times New Roman"/>
              </w:rPr>
              <w:t xml:space="preserve"> [</w:t>
            </w:r>
            <w:r>
              <w:rPr>
                <w:rFonts w:eastAsia="Times New Roman"/>
                <w:i/>
                <w:iCs/>
              </w:rPr>
              <w:t>insert</w:t>
            </w:r>
            <w:r>
              <w:rPr>
                <w:rFonts w:eastAsia="Times New Roman"/>
              </w:rPr>
              <w:t xml:space="preserve">]. </w:t>
            </w:r>
          </w:p>
          <w:p w:rsidRPr="00E00885" w:rsidR="005452B2" w:rsidP="00A425F8" w:rsidRDefault="005452B2" w14:paraId="748D41BD" w14:textId="10549578">
            <w:pPr>
              <w:pStyle w:val="BText"/>
              <w:spacing w:before="120"/>
              <w:jc w:val="left"/>
              <w:rPr>
                <w:rFonts w:eastAsia="Times New Roman"/>
              </w:rPr>
            </w:pPr>
            <w:r w:rsidRPr="005452B2">
              <w:rPr>
                <w:rFonts w:eastAsia="Times New Roman"/>
              </w:rPr>
              <w:t>The Executive Directors shall represent the Company [each individually / each individually except for legal acts a value of which exceeds [amount]</w:t>
            </w:r>
          </w:p>
        </w:tc>
      </w:tr>
      <w:tr w:rsidR="005452B2" w:rsidTr="00041E41" w14:paraId="406BA321" w14:textId="77777777">
        <w:tc>
          <w:tcPr>
            <w:tcW w:w="1335" w:type="pct"/>
          </w:tcPr>
          <w:p w:rsidRPr="006B6F36" w:rsidR="005452B2" w:rsidP="005452B2" w:rsidRDefault="005452B2" w14:paraId="0B95C8CA" w14:textId="5D6215EE">
            <w:pPr>
              <w:pStyle w:val="BText"/>
              <w:spacing w:before="120"/>
              <w:jc w:val="left"/>
              <w:rPr>
                <w:b/>
                <w:bCs/>
              </w:rPr>
            </w:pPr>
            <w:r>
              <w:rPr>
                <w:rFonts w:eastAsia="Times New Roman"/>
                <w:b/>
                <w:color w:val="000000"/>
              </w:rPr>
              <w:t>Information rights</w:t>
            </w:r>
          </w:p>
        </w:tc>
        <w:tc>
          <w:tcPr>
            <w:tcW w:w="3665" w:type="pct"/>
          </w:tcPr>
          <w:p w:rsidRPr="00E00885" w:rsidR="005452B2" w:rsidP="005452B2" w:rsidRDefault="005452B2" w14:paraId="0C44A49C" w14:textId="16F02514">
            <w:pPr>
              <w:pStyle w:val="BText"/>
              <w:spacing w:before="120"/>
              <w:jc w:val="left"/>
              <w:rPr>
                <w:rFonts w:eastAsia="Times New Roman"/>
              </w:rPr>
            </w:pPr>
            <w:r>
              <w:rPr>
                <w:rFonts w:eastAsia="Times New Roman"/>
                <w:color w:val="000000"/>
              </w:rPr>
              <w:t>The Investor shall receive information about the Company’s business operations and performance. The Shareholders’ Agreement shall set out detailed provisions on the Investors’ Information rights [</w:t>
            </w:r>
            <w:r>
              <w:rPr>
                <w:rFonts w:eastAsia="Times New Roman"/>
                <w:color w:val="000000"/>
                <w:highlight w:val="lightGray"/>
              </w:rPr>
              <w:t>including right to appoint and revoke a non-voting observer to the Executive Directors</w:t>
            </w:r>
            <w:r>
              <w:rPr>
                <w:rFonts w:eastAsia="Times New Roman"/>
                <w:color w:val="000000"/>
              </w:rPr>
              <w:t>].</w:t>
            </w:r>
          </w:p>
        </w:tc>
      </w:tr>
      <w:tr w:rsidR="00A425F8" w:rsidTr="00041E41" w14:paraId="21229D1F" w14:textId="77777777">
        <w:tc>
          <w:tcPr>
            <w:tcW w:w="1335" w:type="pct"/>
          </w:tcPr>
          <w:p w:rsidRPr="006B6F36" w:rsidR="00A425F8" w:rsidP="00A425F8" w:rsidRDefault="00FE25F1" w14:paraId="136323D5" w14:textId="36BBDA86">
            <w:pPr>
              <w:pStyle w:val="BText"/>
              <w:spacing w:before="120"/>
              <w:jc w:val="left"/>
              <w:rPr>
                <w:b/>
                <w:bCs/>
              </w:rPr>
            </w:pPr>
            <w:r>
              <w:rPr>
                <w:b/>
                <w:bCs/>
              </w:rPr>
              <w:t>Non-compete and Non-solicitation obligation</w:t>
            </w:r>
          </w:p>
        </w:tc>
        <w:tc>
          <w:tcPr>
            <w:tcW w:w="3665" w:type="pct"/>
          </w:tcPr>
          <w:p w:rsidRPr="00E00885" w:rsidR="00A425F8" w:rsidP="00A425F8" w:rsidRDefault="00FE25F1" w14:paraId="5D6259F9" w14:textId="5153D2CA">
            <w:pPr>
              <w:pStyle w:val="BText"/>
              <w:spacing w:before="120"/>
              <w:jc w:val="left"/>
              <w:rPr>
                <w:rFonts w:eastAsia="Times New Roman"/>
              </w:rPr>
            </w:pPr>
            <w:r w:rsidRPr="00FE25F1">
              <w:rPr>
                <w:rFonts w:eastAsia="Times New Roman"/>
              </w:rPr>
              <w:t xml:space="preserve">For the protection of the Investors’ investment under the Investment </w:t>
            </w:r>
            <w:r>
              <w:rPr>
                <w:rFonts w:eastAsia="Times New Roman"/>
              </w:rPr>
              <w:t xml:space="preserve">Equity </w:t>
            </w:r>
            <w:r w:rsidRPr="00FE25F1">
              <w:rPr>
                <w:rFonts w:eastAsia="Times New Roman"/>
              </w:rPr>
              <w:t>Agreement, each Founder undertakes, during the period while the relevant Founder is a Shareholder [and for a period of [</w:t>
            </w:r>
            <w:r w:rsidRPr="00FE25F1">
              <w:rPr>
                <w:rFonts w:eastAsia="Times New Roman"/>
                <w:i/>
                <w:iCs/>
              </w:rPr>
              <w:t>insert</w:t>
            </w:r>
            <w:r w:rsidRPr="00FE25F1">
              <w:rPr>
                <w:rFonts w:eastAsia="Times New Roman"/>
              </w:rPr>
              <w:t>] months after the Founder ceases to be a Shareholder]</w:t>
            </w:r>
            <w:r>
              <w:rPr>
                <w:rFonts w:eastAsia="Times New Roman"/>
              </w:rPr>
              <w:t xml:space="preserve"> not to compete with the Company or solicit employees/suppliers/customers of the Company. </w:t>
            </w:r>
          </w:p>
        </w:tc>
      </w:tr>
      <w:tr w:rsidR="005452B2" w:rsidTr="00041E41" w14:paraId="0813BF6E" w14:textId="77777777">
        <w:tc>
          <w:tcPr>
            <w:tcW w:w="1335" w:type="pct"/>
          </w:tcPr>
          <w:p w:rsidRPr="006B6F36" w:rsidR="005452B2" w:rsidP="005452B2" w:rsidRDefault="005452B2" w14:paraId="2457F714" w14:textId="5D0D0369">
            <w:pPr>
              <w:pStyle w:val="BText"/>
              <w:spacing w:before="120"/>
              <w:jc w:val="left"/>
              <w:rPr>
                <w:b/>
                <w:bCs/>
              </w:rPr>
            </w:pPr>
            <w:r>
              <w:rPr>
                <w:rFonts w:eastAsia="Times New Roman"/>
                <w:b/>
                <w:color w:val="000000"/>
              </w:rPr>
              <w:t>[Exclusivity]</w:t>
            </w:r>
          </w:p>
        </w:tc>
        <w:tc>
          <w:tcPr>
            <w:tcW w:w="3665" w:type="pct"/>
          </w:tcPr>
          <w:p w:rsidRPr="00E00885" w:rsidR="005452B2" w:rsidP="005452B2" w:rsidRDefault="005452B2" w14:paraId="5DAE7036" w14:textId="0C6AC762">
            <w:pPr>
              <w:pStyle w:val="BText"/>
              <w:spacing w:before="120"/>
              <w:jc w:val="left"/>
              <w:rPr>
                <w:rFonts w:eastAsia="Times New Roman"/>
                <w:color w:val="000000"/>
              </w:rPr>
            </w:pPr>
            <w:r>
              <w:rPr>
                <w:rFonts w:eastAsia="Times New Roman"/>
                <w:color w:val="000000"/>
              </w:rPr>
              <w:t xml:space="preserve">The Company and the Founders agree not to discuss, </w:t>
            </w:r>
            <w:proofErr w:type="gramStart"/>
            <w:r>
              <w:rPr>
                <w:rFonts w:eastAsia="Times New Roman"/>
                <w:color w:val="000000"/>
              </w:rPr>
              <w:t>negotiate</w:t>
            </w:r>
            <w:proofErr w:type="gramEnd"/>
            <w:r>
              <w:rPr>
                <w:rFonts w:eastAsia="Times New Roman"/>
                <w:color w:val="000000"/>
              </w:rPr>
              <w:t xml:space="preserve"> or accept any proposals regarding the sale of Shares, financing of the Company by equity, debt or otherwise or disposal of material assets of the Company for [number] days from the date of this Term sheet. </w:t>
            </w:r>
          </w:p>
        </w:tc>
      </w:tr>
      <w:tr w:rsidR="00A425F8" w:rsidTr="00041E41" w14:paraId="58FE8F9D" w14:textId="77777777">
        <w:tc>
          <w:tcPr>
            <w:tcW w:w="1335" w:type="pct"/>
          </w:tcPr>
          <w:p w:rsidRPr="006B6F36" w:rsidR="00A425F8" w:rsidP="00A425F8" w:rsidRDefault="00A425F8" w14:paraId="42AF4ECA" w14:textId="38D8590C">
            <w:pPr>
              <w:pStyle w:val="BText"/>
              <w:spacing w:before="120"/>
              <w:jc w:val="left"/>
              <w:rPr>
                <w:b/>
                <w:bCs/>
              </w:rPr>
            </w:pPr>
            <w:r w:rsidRPr="006B6F36">
              <w:rPr>
                <w:b/>
                <w:bCs/>
              </w:rPr>
              <w:t>Confidentiality</w:t>
            </w:r>
          </w:p>
        </w:tc>
        <w:tc>
          <w:tcPr>
            <w:tcW w:w="3665" w:type="pct"/>
          </w:tcPr>
          <w:p w:rsidRPr="00E00885" w:rsidR="00A425F8" w:rsidP="00A425F8" w:rsidRDefault="00A425F8" w14:paraId="5A6E6AA8" w14:textId="5EDCE11F">
            <w:pPr>
              <w:pStyle w:val="BText"/>
              <w:spacing w:before="120"/>
              <w:jc w:val="left"/>
              <w:rPr>
                <w:rFonts w:eastAsia="Times New Roman"/>
                <w:color w:val="000000"/>
              </w:rPr>
            </w:pPr>
            <w:r w:rsidRPr="00E00885">
              <w:rPr>
                <w:rFonts w:eastAsia="Times New Roman"/>
                <w:color w:val="000000"/>
              </w:rPr>
              <w:t>The Company and the Investor agree to treat this term sheet and information related to its content confidentially and not to distribute or disclose its existence or contents to any other persons without the prior consent of the other party, except as required to its shareholders and professional advisors.</w:t>
            </w:r>
          </w:p>
        </w:tc>
      </w:tr>
      <w:tr w:rsidR="00A425F8" w:rsidTr="00041E41" w14:paraId="3D1103C7" w14:textId="77777777">
        <w:tc>
          <w:tcPr>
            <w:tcW w:w="1335" w:type="pct"/>
          </w:tcPr>
          <w:p w:rsidRPr="006B6F36" w:rsidR="00A425F8" w:rsidP="00A425F8" w:rsidRDefault="00A425F8" w14:paraId="4809F509" w14:textId="50CACA79">
            <w:pPr>
              <w:pStyle w:val="BText"/>
              <w:spacing w:before="120"/>
              <w:jc w:val="left"/>
              <w:rPr>
                <w:b/>
                <w:bCs/>
              </w:rPr>
            </w:pPr>
            <w:r w:rsidRPr="006B6F36">
              <w:rPr>
                <w:b/>
                <w:bCs/>
              </w:rPr>
              <w:t>Costs</w:t>
            </w:r>
          </w:p>
        </w:tc>
        <w:tc>
          <w:tcPr>
            <w:tcW w:w="3665" w:type="pct"/>
          </w:tcPr>
          <w:p w:rsidR="00AE46BA" w:rsidP="00A425F8" w:rsidRDefault="00A425F8" w14:paraId="09EFE04F" w14:textId="30120AA3">
            <w:pPr>
              <w:pStyle w:val="BText"/>
              <w:spacing w:before="120"/>
              <w:jc w:val="left"/>
            </w:pPr>
            <w:r w:rsidRPr="00E00885">
              <w:t>[Each of the Investor</w:t>
            </w:r>
            <w:r w:rsidR="00AE46BA">
              <w:t>s</w:t>
            </w:r>
            <w:r w:rsidRPr="00E00885">
              <w:t xml:space="preserve">, Founder[s] and the Company shall bear its own costs incurred in respect of the conclusion of this term sheet and the </w:t>
            </w:r>
            <w:r w:rsidR="00AE46BA">
              <w:t>E</w:t>
            </w:r>
            <w:r w:rsidR="00AE46BA">
              <w:t>quity Investment</w:t>
            </w:r>
            <w:r w:rsidRPr="00E00885" w:rsidR="00AE46BA">
              <w:t xml:space="preserve"> Agreement </w:t>
            </w:r>
            <w:r w:rsidR="00AE46BA">
              <w:t>and Shareholders’ Agreement</w:t>
            </w:r>
            <w:r w:rsidRPr="00E00885">
              <w:t>.</w:t>
            </w:r>
            <w:r w:rsidR="00AE46BA">
              <w:t>]</w:t>
            </w:r>
            <w:r w:rsidRPr="00E00885">
              <w:t xml:space="preserve"> </w:t>
            </w:r>
            <w:r w:rsidR="00AE46BA">
              <w:t>OR</w:t>
            </w:r>
            <w:r w:rsidRPr="00E00885">
              <w:t xml:space="preserve"> </w:t>
            </w:r>
          </w:p>
          <w:p w:rsidRPr="00E00885" w:rsidR="00A425F8" w:rsidP="00A425F8" w:rsidRDefault="00AE46BA" w14:paraId="410A23ED" w14:textId="5E6D7E60">
            <w:pPr>
              <w:pStyle w:val="BText"/>
              <w:spacing w:before="120"/>
              <w:jc w:val="left"/>
            </w:pPr>
            <w:r>
              <w:t>[</w:t>
            </w:r>
            <w:r w:rsidRPr="00E00885" w:rsidR="00A425F8">
              <w:t xml:space="preserve">The Company and the Founder[s] shall bear its own costs incurred in respect of the conclusion of this term sheet and the </w:t>
            </w:r>
            <w:r>
              <w:t>E</w:t>
            </w:r>
            <w:r>
              <w:t>quity Investment</w:t>
            </w:r>
            <w:r w:rsidRPr="00E00885">
              <w:t xml:space="preserve"> Agreement </w:t>
            </w:r>
            <w:r>
              <w:t>and Shareholders’ Agreement</w:t>
            </w:r>
            <w:r w:rsidRPr="00E00885" w:rsidR="00A425F8">
              <w:t xml:space="preserve"> and the Company shall reimburse the Investor</w:t>
            </w:r>
            <w:r>
              <w:t>(s)</w:t>
            </w:r>
            <w:r w:rsidRPr="00E00885" w:rsidR="00A425F8">
              <w:t xml:space="preserve"> after the provision of the </w:t>
            </w:r>
            <w:r>
              <w:t>Investment(s)</w:t>
            </w:r>
            <w:r w:rsidRPr="00E00885" w:rsidR="00A425F8">
              <w:t xml:space="preserve"> reasonable legal fees and costs incurred by </w:t>
            </w:r>
            <w:r>
              <w:t>each</w:t>
            </w:r>
            <w:r w:rsidRPr="00E00885" w:rsidR="00A425F8">
              <w:t xml:space="preserve"> Investor in respect of the conclusion of this term sheet and the </w:t>
            </w:r>
            <w:r>
              <w:t>E</w:t>
            </w:r>
            <w:r>
              <w:t>quity Investment</w:t>
            </w:r>
            <w:r w:rsidRPr="00E00885">
              <w:t xml:space="preserve"> Agreement </w:t>
            </w:r>
            <w:r>
              <w:t>and Shareholders’ Agreement</w:t>
            </w:r>
            <w:r>
              <w:t xml:space="preserve"> </w:t>
            </w:r>
            <w:r w:rsidRPr="00E00885" w:rsidR="00A425F8">
              <w:t xml:space="preserve">up to a maximum aggregate amount of [EUR/CZK </w:t>
            </w:r>
            <w:r w:rsidRPr="003765BB" w:rsidR="00A425F8">
              <w:rPr>
                <w:lang w:val="en-US"/>
              </w:rPr>
              <w:sym w:font="Wingdings" w:char="F06C"/>
            </w:r>
            <w:r w:rsidRPr="00E00885" w:rsidR="00A425F8">
              <w:t>]].</w:t>
            </w:r>
          </w:p>
        </w:tc>
      </w:tr>
      <w:tr w:rsidR="00A425F8" w:rsidTr="00041E41" w14:paraId="4154307D" w14:textId="77777777">
        <w:tc>
          <w:tcPr>
            <w:tcW w:w="1335" w:type="pct"/>
          </w:tcPr>
          <w:p w:rsidRPr="006B6F36" w:rsidR="00A425F8" w:rsidP="00A425F8" w:rsidRDefault="00A425F8" w14:paraId="5932BDC4" w14:textId="2FA09325">
            <w:pPr>
              <w:pStyle w:val="BText"/>
              <w:spacing w:before="120"/>
              <w:jc w:val="left"/>
              <w:rPr>
                <w:b/>
                <w:bCs/>
              </w:rPr>
            </w:pPr>
            <w:r w:rsidRPr="006B6F36">
              <w:rPr>
                <w:b/>
                <w:bCs/>
              </w:rPr>
              <w:t>Non-binding effect</w:t>
            </w:r>
          </w:p>
        </w:tc>
        <w:tc>
          <w:tcPr>
            <w:tcW w:w="3665" w:type="pct"/>
          </w:tcPr>
          <w:p w:rsidRPr="00E00885" w:rsidR="00A425F8" w:rsidP="00A425F8" w:rsidRDefault="00A425F8" w14:paraId="0AA6F00F" w14:textId="6648D02A">
            <w:pPr>
              <w:pStyle w:val="BText"/>
              <w:spacing w:before="120"/>
              <w:jc w:val="left"/>
            </w:pPr>
            <w:r w:rsidRPr="00E00885">
              <w:t>This term sheet is intended solely as a basis for further discussion and does not constitute legally binding obligations except for the terms “</w:t>
            </w:r>
            <w:r w:rsidRPr="00E00885">
              <w:rPr>
                <w:b/>
              </w:rPr>
              <w:t>Confidentiality</w:t>
            </w:r>
            <w:r w:rsidRPr="00E00885">
              <w:t>”, “</w:t>
            </w:r>
            <w:r w:rsidRPr="00E00885">
              <w:rPr>
                <w:b/>
              </w:rPr>
              <w:t>Costs</w:t>
            </w:r>
            <w:r w:rsidRPr="00E00885">
              <w:t>” and “</w:t>
            </w:r>
            <w:r w:rsidRPr="00E00885">
              <w:rPr>
                <w:b/>
              </w:rPr>
              <w:t>Governing law and disputes</w:t>
            </w:r>
            <w:r w:rsidRPr="00E00885">
              <w:t>” which are intended to be legally binding on the Company, the Founder[s], and the Investor.</w:t>
            </w:r>
          </w:p>
        </w:tc>
      </w:tr>
      <w:tr w:rsidR="00A425F8" w:rsidTr="00041E41" w14:paraId="2A3370EE" w14:textId="77777777">
        <w:tc>
          <w:tcPr>
            <w:tcW w:w="1335" w:type="pct"/>
          </w:tcPr>
          <w:p w:rsidRPr="00E00885" w:rsidR="00A425F8" w:rsidP="00A425F8" w:rsidRDefault="00A425F8" w14:paraId="3C49A47B" w14:textId="12802CF6">
            <w:pPr>
              <w:pStyle w:val="BText"/>
              <w:spacing w:before="120"/>
              <w:jc w:val="left"/>
              <w:rPr>
                <w:rFonts w:eastAsia="Times New Roman"/>
                <w:b/>
                <w:color w:val="000000"/>
              </w:rPr>
            </w:pPr>
            <w:r w:rsidRPr="00E00885">
              <w:rPr>
                <w:rFonts w:eastAsia="Times New Roman"/>
                <w:b/>
                <w:color w:val="000000"/>
              </w:rPr>
              <w:t>Governing law and disputes</w:t>
            </w:r>
          </w:p>
        </w:tc>
        <w:tc>
          <w:tcPr>
            <w:tcW w:w="3665" w:type="pct"/>
          </w:tcPr>
          <w:p w:rsidR="00A425F8" w:rsidP="00A425F8" w:rsidRDefault="00A425F8" w14:paraId="2D89F381" w14:textId="1D7A263B">
            <w:pPr>
              <w:pStyle w:val="BText"/>
              <w:spacing w:before="120"/>
              <w:jc w:val="left"/>
            </w:pPr>
            <w:r w:rsidRPr="00E00885">
              <w:t xml:space="preserve">This term sheet and the </w:t>
            </w:r>
            <w:r w:rsidR="00AE46BA">
              <w:t>Equity Investment</w:t>
            </w:r>
            <w:r w:rsidRPr="00E00885">
              <w:t xml:space="preserve"> Agreement </w:t>
            </w:r>
            <w:r w:rsidR="00AE46BA">
              <w:t xml:space="preserve">and Shareholders’ Agreement </w:t>
            </w:r>
            <w:r w:rsidRPr="00E00885">
              <w:t xml:space="preserve">shall be governed and construed in accordance with the laws of the Czech Republic. </w:t>
            </w:r>
          </w:p>
          <w:p w:rsidRPr="00E00885" w:rsidR="00A425F8" w:rsidP="00AE46BA" w:rsidRDefault="00A425F8" w14:paraId="7037DD58" w14:textId="0A28B745">
            <w:pPr>
              <w:pStyle w:val="BText"/>
              <w:spacing w:before="120"/>
              <w:jc w:val="left"/>
            </w:pPr>
            <w:r w:rsidRPr="00525630">
              <w:lastRenderedPageBreak/>
              <w:t xml:space="preserve">Any dispute arising out of this term sheet and the </w:t>
            </w:r>
            <w:proofErr w:type="spellStart"/>
            <w:r w:rsidR="00AE46BA">
              <w:t>quity</w:t>
            </w:r>
            <w:proofErr w:type="spellEnd"/>
            <w:r w:rsidR="00AE46BA">
              <w:t xml:space="preserve"> Investment</w:t>
            </w:r>
            <w:r w:rsidRPr="00E00885" w:rsidR="00AE46BA">
              <w:t xml:space="preserve"> Agreement </w:t>
            </w:r>
            <w:r w:rsidR="00AE46BA">
              <w:t xml:space="preserve">and Shareholders’ </w:t>
            </w:r>
            <w:proofErr w:type="spellStart"/>
            <w:r w:rsidR="00AE46BA">
              <w:t>Agreement</w:t>
            </w:r>
            <w:r w:rsidRPr="00525630">
              <w:t>will</w:t>
            </w:r>
            <w:proofErr w:type="spellEnd"/>
            <w:r w:rsidRPr="00525630">
              <w:t xml:space="preserve"> be finally decided by the Czech courts.</w:t>
            </w:r>
            <w:r w:rsidRPr="00E00885">
              <w:rPr>
                <w:highlight w:val="lightGray"/>
                <w:vertAlign w:val="superscript"/>
              </w:rPr>
              <w:footnoteReference w:id="5"/>
            </w:r>
          </w:p>
        </w:tc>
      </w:tr>
    </w:tbl>
    <w:p w:rsidR="004254CF" w:rsidP="00041E41" w:rsidRDefault="004254CF" w14:paraId="5EA1D38A" w14:textId="77777777">
      <w:pPr>
        <w:pStyle w:val="BText"/>
      </w:pPr>
    </w:p>
    <w:p w:rsidR="005452B2" w:rsidP="00041E41" w:rsidRDefault="005452B2" w14:paraId="7BB97E4E" w14:textId="77777777">
      <w:pPr>
        <w:pStyle w:val="BText"/>
      </w:pPr>
    </w:p>
    <w:p w:rsidRPr="005452B2" w:rsidR="005452B2" w:rsidP="005452B2" w:rsidRDefault="005452B2" w14:paraId="7B0FB443" w14:textId="77777777">
      <w:pPr>
        <w:pStyle w:val="BText"/>
        <w:jc w:val="center"/>
        <w:rPr>
          <w:b/>
          <w:bCs/>
        </w:rPr>
      </w:pPr>
      <w:r w:rsidRPr="005452B2">
        <w:rPr>
          <w:b/>
          <w:bCs/>
        </w:rPr>
        <w:t>CAP TABLE</w:t>
      </w:r>
    </w:p>
    <w:p w:rsidR="005452B2" w:rsidP="005452B2" w:rsidRDefault="005452B2" w14:paraId="1CCA47ED" w14:textId="630EE6D4">
      <w:pPr>
        <w:pStyle w:val="BText"/>
        <w:jc w:val="center"/>
      </w:pPr>
      <w:r>
        <w:t>[model Cap Table to be inserted]</w:t>
      </w:r>
    </w:p>
    <w:p w:rsidR="005452B2" w:rsidP="005452B2" w:rsidRDefault="005452B2" w14:paraId="37089F13" w14:textId="77777777">
      <w:pPr>
        <w:pStyle w:val="BText"/>
        <w:jc w:val="center"/>
      </w:pPr>
    </w:p>
    <w:p w:rsidR="005452B2" w:rsidP="005452B2" w:rsidRDefault="005452B2" w14:paraId="78F225DF" w14:textId="77777777">
      <w:pPr>
        <w:pStyle w:val="BText"/>
        <w:jc w:val="center"/>
      </w:pPr>
    </w:p>
    <w:p w:rsidRPr="005452B2" w:rsidR="005452B2" w:rsidP="005452B2" w:rsidRDefault="005452B2" w14:paraId="36271196" w14:textId="30AE18CC">
      <w:pPr>
        <w:pStyle w:val="BText"/>
        <w:jc w:val="center"/>
        <w:rPr>
          <w:b/>
          <w:bCs/>
        </w:rPr>
      </w:pPr>
      <w:r>
        <w:rPr>
          <w:b/>
          <w:bCs/>
        </w:rPr>
        <w:t>SIGNATURES</w:t>
      </w:r>
    </w:p>
    <w:sectPr w:rsidRPr="005452B2" w:rsidR="005452B2" w:rsidSect="00531BB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6A3" w:rsidP="0035233D" w:rsidRDefault="003B46A3" w14:paraId="69D1484F" w14:textId="77777777">
      <w:r>
        <w:separator/>
      </w:r>
    </w:p>
  </w:endnote>
  <w:endnote w:type="continuationSeparator" w:id="0">
    <w:p w:rsidR="003B46A3" w:rsidP="0035233D" w:rsidRDefault="003B46A3" w14:paraId="6D4871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D91" w:rsidRDefault="00494D91" w14:paraId="72A8B2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E42" w:rsidR="00CC25B0" w:rsidP="00531BBD" w:rsidRDefault="00CC25B0" w14:paraId="04C5BAEC" w14:textId="77777777">
    <w:pPr>
      <w:pStyle w:val="Footer"/>
      <w:jc w:val="center"/>
      <w:rPr>
        <w:sz w:val="16"/>
      </w:rPr>
    </w:pPr>
    <w:r w:rsidRPr="00C64E42">
      <w:rPr>
        <w:sz w:val="16"/>
      </w:rPr>
      <w:fldChar w:fldCharType="begin"/>
    </w:r>
    <w:r w:rsidRPr="00C64E42">
      <w:rPr>
        <w:sz w:val="16"/>
      </w:rPr>
      <w:instrText xml:space="preserve"> PAGE </w:instrText>
    </w:r>
    <w:r w:rsidRPr="00C64E42">
      <w:rPr>
        <w:sz w:val="16"/>
      </w:rPr>
      <w:fldChar w:fldCharType="separate"/>
    </w:r>
    <w:r w:rsidR="00581D61">
      <w:rPr>
        <w:noProof/>
        <w:sz w:val="16"/>
      </w:rPr>
      <w:t>1</w:t>
    </w:r>
    <w:r w:rsidRPr="00C64E42">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E42" w:rsidR="00CC25B0" w:rsidP="00531BBD" w:rsidRDefault="00CC25B0" w14:paraId="3EC96AFE" w14:textId="77777777">
    <w:pPr>
      <w:pStyle w:val="Footer"/>
      <w:jc w:val="center"/>
      <w:rPr>
        <w:sz w:val="16"/>
      </w:rPr>
    </w:pPr>
    <w:r w:rsidRPr="00C64E42">
      <w:rPr>
        <w:sz w:val="16"/>
      </w:rPr>
      <w:fldChar w:fldCharType="begin"/>
    </w:r>
    <w:r w:rsidRPr="00C64E42">
      <w:rPr>
        <w:sz w:val="16"/>
      </w:rPr>
      <w:instrText xml:space="preserve"> PAGE </w:instrText>
    </w:r>
    <w:r w:rsidRPr="00C64E42">
      <w:rPr>
        <w:sz w:val="16"/>
      </w:rPr>
      <w:fldChar w:fldCharType="separate"/>
    </w:r>
    <w:r w:rsidR="00581D61">
      <w:rPr>
        <w:noProof/>
        <w:sz w:val="16"/>
      </w:rPr>
      <w:t>1</w:t>
    </w:r>
    <w:r w:rsidRPr="00C64E4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6A3" w:rsidP="0035233D" w:rsidRDefault="003B46A3" w14:paraId="2B31AA49" w14:textId="77777777">
      <w:r>
        <w:separator/>
      </w:r>
    </w:p>
  </w:footnote>
  <w:footnote w:type="continuationSeparator" w:id="0">
    <w:p w:rsidR="003B46A3" w:rsidP="0035233D" w:rsidRDefault="003B46A3" w14:paraId="61A0C09B" w14:textId="77777777">
      <w:r>
        <w:continuationSeparator/>
      </w:r>
    </w:p>
  </w:footnote>
  <w:footnote w:id="1">
    <w:p w:rsidRPr="00591CA6" w:rsidR="00294A11" w:rsidP="00294A11" w:rsidRDefault="00294A11" w14:paraId="3A8D3F52" w14:textId="170067C9">
      <w:pPr>
        <w:pStyle w:val="FootnoteText"/>
        <w:ind w:left="720" w:hanging="720"/>
        <w:rPr>
          <w:lang w:val="en-US"/>
        </w:rPr>
      </w:pPr>
      <w:r w:rsidRPr="00591CA6">
        <w:rPr>
          <w:vertAlign w:val="superscript"/>
          <w:lang w:val="en-US"/>
        </w:rPr>
        <w:footnoteRef/>
      </w:r>
      <w:r w:rsidRPr="00591CA6">
        <w:rPr>
          <w:lang w:val="en-US"/>
        </w:rPr>
        <w:t xml:space="preserve"> </w:t>
      </w:r>
      <w:r w:rsidRPr="00591CA6">
        <w:rPr>
          <w:lang w:val="en-US"/>
        </w:rPr>
        <w:tab/>
      </w:r>
      <w:r w:rsidRPr="00294A11">
        <w:rPr>
          <w:lang w:val="en-US"/>
        </w:rPr>
        <w:t>NOTE TO DRAFT: Consider specifying in more detail in case the Loan is agreed to be provided for a specific purpose (</w:t>
      </w:r>
      <w:proofErr w:type="gramStart"/>
      <w:r w:rsidRPr="00294A11">
        <w:rPr>
          <w:lang w:val="en-US"/>
        </w:rPr>
        <w:t>e.g.</w:t>
      </w:r>
      <w:proofErr w:type="gramEnd"/>
      <w:r w:rsidRPr="00294A11">
        <w:rPr>
          <w:lang w:val="en-US"/>
        </w:rPr>
        <w:t xml:space="preserve"> development of a demo version, particular talent acquisition, etc.).</w:t>
      </w:r>
    </w:p>
  </w:footnote>
  <w:footnote w:id="2">
    <w:p w:rsidR="00A425F8" w:rsidP="0062721A" w:rsidRDefault="00A425F8" w14:paraId="693AA370" w14:textId="465EA40C">
      <w:pPr>
        <w:pStyle w:val="FootnoteText"/>
        <w:ind w:left="709" w:hanging="709"/>
      </w:pPr>
      <w:r>
        <w:rPr>
          <w:rStyle w:val="FootnoteReference"/>
        </w:rPr>
        <w:footnoteRef/>
      </w:r>
      <w:r>
        <w:t xml:space="preserve"> </w:t>
      </w:r>
      <w:r>
        <w:tab/>
      </w:r>
      <w:r w:rsidRPr="0062721A">
        <w:t>NOTE TO DRAFT: The relevant percentage should be high enough for it to be generally understood that the investment round has failed, for example, due to the Company not having collected sufficient funds to finance its intended business plan or otherwise.</w:t>
      </w:r>
    </w:p>
  </w:footnote>
  <w:footnote w:id="3">
    <w:p w:rsidR="00A425F8" w:rsidP="0062721A" w:rsidRDefault="00A425F8" w14:paraId="131A21F5" w14:textId="59D4CECA">
      <w:pPr>
        <w:pStyle w:val="FootnoteText"/>
        <w:ind w:left="709" w:hanging="709"/>
      </w:pPr>
      <w:r>
        <w:rPr>
          <w:rStyle w:val="FootnoteReference"/>
        </w:rPr>
        <w:footnoteRef/>
      </w:r>
      <w:r>
        <w:t xml:space="preserve"> </w:t>
      </w:r>
      <w:r>
        <w:tab/>
      </w:r>
      <w:r w:rsidRPr="0062721A">
        <w:t xml:space="preserve">NOTE TO DRAFT: The purpose of the post-closing obligations is to make the Company and the Founders address issues found </w:t>
      </w:r>
      <w:proofErr w:type="gramStart"/>
      <w:r w:rsidRPr="0062721A">
        <w:t>in the course of</w:t>
      </w:r>
      <w:proofErr w:type="gramEnd"/>
      <w:r w:rsidRPr="0062721A">
        <w:t xml:space="preserve"> the due diligence (or otherwise) that are important enough that they should be fixed but that are not important enough to be necessarily added as Conditions Precedent or to be otherwise necessarily fixed before Closing. For any issues that are not important enough to be addressed before Closing but that are easy to fix, it might make sense to address these already before the signing of this agreement </w:t>
      </w:r>
      <w:proofErr w:type="gramStart"/>
      <w:r w:rsidRPr="0062721A">
        <w:t>so as to</w:t>
      </w:r>
      <w:proofErr w:type="gramEnd"/>
      <w:r w:rsidRPr="0062721A">
        <w:t xml:space="preserve"> keep the list of post-closing obligations as short as possible.</w:t>
      </w:r>
    </w:p>
  </w:footnote>
  <w:footnote w:id="4">
    <w:p w:rsidR="00A425F8" w:rsidP="00C037D1" w:rsidRDefault="00A425F8" w14:paraId="314C73FE" w14:textId="154B1C07">
      <w:pPr>
        <w:pStyle w:val="FootnoteText"/>
        <w:ind w:left="709" w:hanging="709"/>
      </w:pPr>
      <w:r>
        <w:rPr>
          <w:rStyle w:val="FootnoteReference"/>
        </w:rPr>
        <w:footnoteRef/>
      </w:r>
      <w:r>
        <w:t xml:space="preserve"> </w:t>
      </w:r>
      <w:r>
        <w:tab/>
      </w:r>
      <w:r w:rsidRPr="00C037D1">
        <w:t>NOTE TO DRAFT: Terms Sheet may include demonstrative list of the matters for which it is necessary to obtain Investor Majority’s consent.</w:t>
      </w:r>
      <w:r w:rsidR="005452B2">
        <w:t xml:space="preserve"> The full catalogue of Investor Majority Matters is included in the Shareholders’ Agreement on </w:t>
      </w:r>
      <w:hyperlink w:history="1" r:id="rId1">
        <w:r w:rsidRPr="00FB2A14" w:rsidR="005452B2">
          <w:rPr>
            <w:rStyle w:val="Hyperlink"/>
          </w:rPr>
          <w:t>https://czechstartupdocs.com/</w:t>
        </w:r>
      </w:hyperlink>
      <w:r w:rsidR="005452B2">
        <w:t xml:space="preserve"> </w:t>
      </w:r>
    </w:p>
  </w:footnote>
  <w:footnote w:id="5">
    <w:p w:rsidRPr="00591CA6" w:rsidR="00A425F8" w:rsidP="00295930" w:rsidRDefault="00A425F8" w14:paraId="6D1148C1" w14:textId="071288B6">
      <w:pPr>
        <w:pBdr>
          <w:top w:val="nil"/>
          <w:left w:val="nil"/>
          <w:bottom w:val="nil"/>
          <w:right w:val="nil"/>
          <w:between w:val="nil"/>
        </w:pBdr>
        <w:ind w:left="720" w:hanging="720"/>
        <w:rPr>
          <w:sz w:val="16"/>
          <w:szCs w:val="20"/>
          <w:lang w:val="en-US"/>
        </w:rPr>
      </w:pPr>
      <w:r w:rsidRPr="00295930">
        <w:rPr>
          <w:sz w:val="16"/>
          <w:szCs w:val="20"/>
          <w:vertAlign w:val="superscript"/>
          <w:lang w:val="en-US"/>
        </w:rPr>
        <w:footnoteRef/>
      </w:r>
      <w:r w:rsidRPr="00295930">
        <w:rPr>
          <w:sz w:val="16"/>
          <w:szCs w:val="20"/>
          <w:lang w:val="en-US"/>
        </w:rPr>
        <w:t xml:space="preserve"> </w:t>
      </w:r>
      <w:r>
        <w:rPr>
          <w:sz w:val="16"/>
          <w:szCs w:val="20"/>
          <w:lang w:val="en-US"/>
        </w:rPr>
        <w:tab/>
      </w:r>
      <w:r w:rsidRPr="00295930">
        <w:rPr>
          <w:sz w:val="16"/>
          <w:szCs w:val="20"/>
          <w:lang w:val="en-US"/>
        </w:rPr>
        <w:t xml:space="preserve">NOTE TO DRAFT: It is also possible to include an arbitration clause and subject a dispute to arbitration proceedings. The main benefits of the arbitration proceedings are that the proceedings and results are confidential, a dispute is decided in a single instance, and it is usually less formal and swifter. In addition, enforcement of an award abroad is easy. You can choose between various arbitration courts which will have impact on costs. To choose the Arbitration Court attached to the Czech Chamber of Commerce and the Agricultural Chamber of the Czech Republic it is possible to replace the text as follows: “All disputes arising from this term sheet and </w:t>
      </w:r>
      <w:r w:rsidR="005452B2">
        <w:rPr>
          <w:sz w:val="16"/>
          <w:szCs w:val="20"/>
          <w:lang w:val="en-US"/>
        </w:rPr>
        <w:t>Equity Investment</w:t>
      </w:r>
      <w:r w:rsidRPr="00295930">
        <w:rPr>
          <w:sz w:val="16"/>
          <w:szCs w:val="20"/>
          <w:lang w:val="en-US"/>
        </w:rPr>
        <w:t xml:space="preserve"> Agreement</w:t>
      </w:r>
      <w:r w:rsidR="005452B2">
        <w:rPr>
          <w:sz w:val="16"/>
          <w:szCs w:val="20"/>
          <w:lang w:val="en-US"/>
        </w:rPr>
        <w:t xml:space="preserve"> and Shareholders’ Agreement</w:t>
      </w:r>
      <w:r w:rsidRPr="00295930">
        <w:rPr>
          <w:sz w:val="16"/>
          <w:szCs w:val="20"/>
          <w:lang w:val="en-US"/>
        </w:rPr>
        <w:t xml:space="preserve"> and/or in connection with it shall be finally decided with the Arbitration Court attached to the Czech Chamber of Commerce and the Agricultural Chamber of the Czech Republic according to its Rules by three arbitrators in accordance with the Rules of that Arbitration Court. The proceedings shall be conducted in [Czech/English] language and the seat of arbitration shall be Prague, Czech Republic.” Alternatively, it is also possible to establish jurisdiction of a particular court, such as the District Court of Prague 1 or the Municipal Court in Prague being the court of first instance (based on subject matter of the dispute).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D91" w:rsidRDefault="00494D91" w14:paraId="17B631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D91" w:rsidRDefault="00494D91" w14:paraId="4DDC3F53"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F36" w:rsidP="00E70589" w:rsidRDefault="00E70589" w14:paraId="108CFA63" w14:textId="410507DF">
    <w:pPr>
      <w:pStyle w:val="Header"/>
      <w:jc w:val="right"/>
    </w:pPr>
    <w:r w:rsidRPr="00D96B11">
      <w:rPr>
        <w:noProof/>
        <w:lang w:val="cs-CZ" w:eastAsia="cs-CZ"/>
      </w:rPr>
      <w:drawing>
        <wp:inline distT="0" distB="0" distL="0" distR="0" wp14:anchorId="790BDFCF" wp14:editId="5795F452">
          <wp:extent cx="1889185" cy="530426"/>
          <wp:effectExtent l="0" t="0" r="0" b="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ichtoa\AppData\Local\Microsoft\Windows\INetCache\Content.Outlook\Q4R5RG16\csd_rg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65" cy="557346"/>
                  </a:xfrm>
                  <a:prstGeom prst="rect">
                    <a:avLst/>
                  </a:prstGeom>
                  <a:noFill/>
                  <a:ln>
                    <a:noFill/>
                  </a:ln>
                </pic:spPr>
              </pic:pic>
            </a:graphicData>
          </a:graphic>
        </wp:inline>
      </w:drawing>
    </w:r>
  </w:p>
  <w:p w:rsidRPr="0015503A" w:rsidR="00E70589" w:rsidP="00E70589" w:rsidRDefault="00E70589" w14:paraId="05724148"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21E"/>
    <w:multiLevelType w:val="multilevel"/>
    <w:tmpl w:val="D104268C"/>
    <w:lvl w:ilvl="0">
      <w:start w:val="1"/>
      <w:numFmt w:val="decimal"/>
      <w:pStyle w:val="OutNum1"/>
      <w:lvlText w:val="%1."/>
      <w:lvlJc w:val="left"/>
      <w:pPr>
        <w:tabs>
          <w:tab w:val="num" w:pos="720"/>
        </w:tabs>
        <w:ind w:left="720" w:hanging="720"/>
      </w:pPr>
      <w:rPr>
        <w:rFonts w:hint="default"/>
        <w:caps/>
      </w:rPr>
    </w:lvl>
    <w:lvl w:ilvl="1">
      <w:start w:val="1"/>
      <w:numFmt w:val="decimal"/>
      <w:pStyle w:val="OutNum2"/>
      <w:lvlText w:val="%1.%2"/>
      <w:lvlJc w:val="left"/>
      <w:pPr>
        <w:tabs>
          <w:tab w:val="num" w:pos="720"/>
        </w:tabs>
        <w:ind w:left="720" w:hanging="720"/>
      </w:pPr>
      <w:rPr>
        <w:rFonts w:hint="default"/>
      </w:rPr>
    </w:lvl>
    <w:lvl w:ilvl="2">
      <w:start w:val="1"/>
      <w:numFmt w:val="lowerLetter"/>
      <w:pStyle w:val="OutNum3"/>
      <w:lvlText w:val="(%3)"/>
      <w:lvlJc w:val="left"/>
      <w:pPr>
        <w:tabs>
          <w:tab w:val="num" w:pos="1440"/>
        </w:tabs>
        <w:ind w:left="1440" w:hanging="720"/>
      </w:pPr>
      <w:rPr>
        <w:rFonts w:hint="default"/>
      </w:rPr>
    </w:lvl>
    <w:lvl w:ilvl="3">
      <w:start w:val="1"/>
      <w:numFmt w:val="lowerRoman"/>
      <w:pStyle w:val="OutNum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B64F6"/>
    <w:multiLevelType w:val="multilevel"/>
    <w:tmpl w:val="B0204AE8"/>
    <w:lvl w:ilvl="0">
      <w:start w:val="1"/>
      <w:numFmt w:val="decimal"/>
      <w:pStyle w:val="SchdH"/>
      <w:suff w:val="nothing"/>
      <w:lvlText w:val="Schedule %1"/>
      <w:lvlJc w:val="left"/>
      <w:pPr>
        <w:ind w:left="0" w:firstLine="0"/>
      </w:pPr>
      <w:rPr>
        <w:rFonts w:hint="default"/>
        <w:caps/>
      </w:rPr>
    </w:lvl>
    <w:lvl w:ilvl="1">
      <w:start w:val="1"/>
      <w:numFmt w:val="none"/>
      <w:pStyle w:val="SchdT"/>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BB2513"/>
    <w:multiLevelType w:val="multilevel"/>
    <w:tmpl w:val="8564DA66"/>
    <w:name w:val="TOC332"/>
    <w:lvl w:ilvl="0">
      <w:start w:val="1"/>
      <w:numFmt w:val="decimal"/>
      <w:pStyle w:val="TOC4"/>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7E26B3"/>
    <w:multiLevelType w:val="multilevel"/>
    <w:tmpl w:val="BF303CB4"/>
    <w:name w:val="TOCss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D35B2"/>
    <w:multiLevelType w:val="multilevel"/>
    <w:tmpl w:val="54103D50"/>
    <w:lvl w:ilvl="0">
      <w:start w:val="1"/>
      <w:numFmt w:val="decimal"/>
      <w:lvlText w:val=""/>
      <w:lvlJc w:val="left"/>
      <w:pPr>
        <w:ind w:left="720" w:firstLine="0"/>
      </w:pPr>
    </w:lvl>
    <w:lvl w:ilvl="1">
      <w:start w:val="1"/>
      <w:numFmt w:val="lowerLetter"/>
      <w:lvlText w:val="(%2)"/>
      <w:lvlJc w:val="left"/>
      <w:pPr>
        <w:ind w:left="144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A246F8"/>
    <w:multiLevelType w:val="multilevel"/>
    <w:tmpl w:val="3ABEE938"/>
    <w:lvl w:ilvl="0">
      <w:start w:val="1"/>
      <w:numFmt w:val="decimal"/>
      <w:pStyle w:val="Num1"/>
      <w:lvlText w:val="(%1)"/>
      <w:lvlJc w:val="left"/>
      <w:pPr>
        <w:tabs>
          <w:tab w:val="num" w:pos="720"/>
        </w:tabs>
        <w:ind w:left="720" w:hanging="720"/>
      </w:pPr>
      <w:rPr>
        <w:rFonts w:hint="default"/>
      </w:rPr>
    </w:lvl>
    <w:lvl w:ilvl="1">
      <w:start w:val="1"/>
      <w:numFmt w:val="upperLetter"/>
      <w:pStyle w:val="Num2"/>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1B091B"/>
    <w:multiLevelType w:val="multilevel"/>
    <w:tmpl w:val="1C80C8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A03C15"/>
    <w:multiLevelType w:val="multilevel"/>
    <w:tmpl w:val="A03A778C"/>
    <w:name w:val="TOC3"/>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090E99"/>
    <w:multiLevelType w:val="multilevel"/>
    <w:tmpl w:val="88188E50"/>
    <w:name w:val="SchdNums"/>
    <w:lvl w:ilvl="0">
      <w:start w:val="1"/>
      <w:numFmt w:val="decimal"/>
      <w:pStyle w:val="SchdNum1"/>
      <w:lvlText w:val="%1."/>
      <w:lvlJc w:val="left"/>
      <w:pPr>
        <w:tabs>
          <w:tab w:val="num" w:pos="720"/>
        </w:tabs>
        <w:ind w:left="720" w:hanging="720"/>
      </w:pPr>
      <w:rPr>
        <w:rFonts w:hint="default"/>
        <w:caps/>
      </w:rPr>
    </w:lvl>
    <w:lvl w:ilvl="1">
      <w:start w:val="1"/>
      <w:numFmt w:val="decimal"/>
      <w:pStyle w:val="SchdNum2"/>
      <w:lvlText w:val="%1.%2"/>
      <w:lvlJc w:val="left"/>
      <w:pPr>
        <w:tabs>
          <w:tab w:val="num" w:pos="720"/>
        </w:tabs>
        <w:ind w:left="720" w:hanging="720"/>
      </w:pPr>
      <w:rPr>
        <w:rFonts w:hint="default"/>
        <w:b/>
        <w:bCs/>
      </w:rPr>
    </w:lvl>
    <w:lvl w:ilvl="2">
      <w:start w:val="1"/>
      <w:numFmt w:val="decimal"/>
      <w:pStyle w:val="SchdNum3"/>
      <w:lvlText w:val="%3."/>
      <w:lvlJc w:val="left"/>
      <w:pPr>
        <w:tabs>
          <w:tab w:val="num" w:pos="720"/>
        </w:tabs>
        <w:ind w:left="720" w:hanging="720"/>
      </w:pPr>
      <w:rPr>
        <w:rFonts w:hint="default"/>
      </w:rPr>
    </w:lvl>
    <w:lvl w:ilvl="3">
      <w:start w:val="1"/>
      <w:numFmt w:val="lowerLetter"/>
      <w:pStyle w:val="SchdNum4"/>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3E2A23"/>
    <w:multiLevelType w:val="multilevel"/>
    <w:tmpl w:val="7EECC8F4"/>
    <w:lvl w:ilvl="0">
      <w:start w:val="1"/>
      <w:numFmt w:val="none"/>
      <w:pStyle w:val="DefText"/>
      <w:suff w:val="nothing"/>
      <w:lvlText w:val=""/>
      <w:lvlJc w:val="left"/>
      <w:pPr>
        <w:ind w:left="720" w:firstLine="0"/>
      </w:pPr>
      <w:rPr>
        <w:rFonts w:hint="default"/>
      </w:rPr>
    </w:lvl>
    <w:lvl w:ilvl="1">
      <w:start w:val="1"/>
      <w:numFmt w:val="lowerLetter"/>
      <w:pStyle w:val="DefNum1"/>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9E0B27"/>
    <w:multiLevelType w:val="multilevel"/>
    <w:tmpl w:val="5E880AFC"/>
    <w:name w:val="TOC33"/>
    <w:lvl w:ilvl="0">
      <w:start w:val="1"/>
      <w:numFmt w:val="decimal"/>
      <w:pStyle w:val="TOC3"/>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1B1737"/>
    <w:multiLevelType w:val="multilevel"/>
    <w:tmpl w:val="5DD8BF16"/>
    <w:name w:val="TOCss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A1369D"/>
    <w:multiLevelType w:val="multilevel"/>
    <w:tmpl w:val="C5BC6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0892972">
    <w:abstractNumId w:val="9"/>
  </w:num>
  <w:num w:numId="2" w16cid:durableId="256137491">
    <w:abstractNumId w:val="9"/>
  </w:num>
  <w:num w:numId="3" w16cid:durableId="1564365336">
    <w:abstractNumId w:val="5"/>
  </w:num>
  <w:num w:numId="4" w16cid:durableId="387999287">
    <w:abstractNumId w:val="5"/>
  </w:num>
  <w:num w:numId="5" w16cid:durableId="1393191907">
    <w:abstractNumId w:val="0"/>
  </w:num>
  <w:num w:numId="6" w16cid:durableId="1326855594">
    <w:abstractNumId w:val="0"/>
  </w:num>
  <w:num w:numId="7" w16cid:durableId="1011417455">
    <w:abstractNumId w:val="0"/>
  </w:num>
  <w:num w:numId="8" w16cid:durableId="1842818368">
    <w:abstractNumId w:val="0"/>
  </w:num>
  <w:num w:numId="9" w16cid:durableId="748356601">
    <w:abstractNumId w:val="1"/>
  </w:num>
  <w:num w:numId="10" w16cid:durableId="542793657">
    <w:abstractNumId w:val="8"/>
  </w:num>
  <w:num w:numId="11" w16cid:durableId="1703049712">
    <w:abstractNumId w:val="8"/>
  </w:num>
  <w:num w:numId="12" w16cid:durableId="820076280">
    <w:abstractNumId w:val="1"/>
  </w:num>
  <w:num w:numId="13" w16cid:durableId="680937314">
    <w:abstractNumId w:val="3"/>
  </w:num>
  <w:num w:numId="14" w16cid:durableId="1057126961">
    <w:abstractNumId w:val="11"/>
  </w:num>
  <w:num w:numId="15" w16cid:durableId="1153377132">
    <w:abstractNumId w:val="7"/>
  </w:num>
  <w:num w:numId="16" w16cid:durableId="1416324340">
    <w:abstractNumId w:val="10"/>
  </w:num>
  <w:num w:numId="17" w16cid:durableId="1951281256">
    <w:abstractNumId w:val="2"/>
  </w:num>
  <w:num w:numId="18" w16cid:durableId="1385787212">
    <w:abstractNumId w:val="5"/>
  </w:num>
  <w:num w:numId="19" w16cid:durableId="306790390">
    <w:abstractNumId w:val="0"/>
  </w:num>
  <w:num w:numId="20" w16cid:durableId="314719712">
    <w:abstractNumId w:val="0"/>
  </w:num>
  <w:num w:numId="21" w16cid:durableId="937641472">
    <w:abstractNumId w:val="0"/>
  </w:num>
  <w:num w:numId="22" w16cid:durableId="1928078201">
    <w:abstractNumId w:val="0"/>
  </w:num>
  <w:num w:numId="23" w16cid:durableId="1271429940">
    <w:abstractNumId w:val="0"/>
  </w:num>
  <w:num w:numId="24" w16cid:durableId="1477258032">
    <w:abstractNumId w:val="0"/>
  </w:num>
  <w:num w:numId="25" w16cid:durableId="1036152769">
    <w:abstractNumId w:val="0"/>
  </w:num>
  <w:num w:numId="26" w16cid:durableId="1585795512">
    <w:abstractNumId w:val="0"/>
  </w:num>
  <w:num w:numId="27" w16cid:durableId="939292272">
    <w:abstractNumId w:val="0"/>
  </w:num>
  <w:num w:numId="28" w16cid:durableId="1853102162">
    <w:abstractNumId w:val="0"/>
  </w:num>
  <w:num w:numId="29" w16cid:durableId="911280530">
    <w:abstractNumId w:val="0"/>
  </w:num>
  <w:num w:numId="30" w16cid:durableId="970132327">
    <w:abstractNumId w:val="0"/>
  </w:num>
  <w:num w:numId="31" w16cid:durableId="1518083839">
    <w:abstractNumId w:val="0"/>
  </w:num>
  <w:num w:numId="32" w16cid:durableId="1306471061">
    <w:abstractNumId w:val="0"/>
  </w:num>
  <w:num w:numId="33" w16cid:durableId="911237475">
    <w:abstractNumId w:val="0"/>
  </w:num>
  <w:num w:numId="34" w16cid:durableId="1088235919">
    <w:abstractNumId w:val="0"/>
  </w:num>
  <w:num w:numId="35" w16cid:durableId="1254633215">
    <w:abstractNumId w:val="8"/>
  </w:num>
  <w:num w:numId="36" w16cid:durableId="347223748">
    <w:abstractNumId w:val="8"/>
  </w:num>
  <w:num w:numId="37" w16cid:durableId="1058555713">
    <w:abstractNumId w:val="8"/>
  </w:num>
  <w:num w:numId="38" w16cid:durableId="1052848205">
    <w:abstractNumId w:val="4"/>
  </w:num>
  <w:num w:numId="39" w16cid:durableId="927693691">
    <w:abstractNumId w:val="0"/>
  </w:num>
  <w:num w:numId="40" w16cid:durableId="848103995">
    <w:abstractNumId w:val="6"/>
  </w:num>
  <w:num w:numId="41" w16cid:durableId="422730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9968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5553547">
    <w:abstractNumId w:val="0"/>
  </w:num>
  <w:num w:numId="44" w16cid:durableId="541749832">
    <w:abstractNumId w:val="0"/>
  </w:num>
  <w:num w:numId="45" w16cid:durableId="1346790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4229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413812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CC"/>
    <w:rsid w:val="00005B04"/>
    <w:rsid w:val="00007FD2"/>
    <w:rsid w:val="000204B0"/>
    <w:rsid w:val="00023E3B"/>
    <w:rsid w:val="000400A8"/>
    <w:rsid w:val="00040F37"/>
    <w:rsid w:val="00041E41"/>
    <w:rsid w:val="00045D0E"/>
    <w:rsid w:val="000779D0"/>
    <w:rsid w:val="00094250"/>
    <w:rsid w:val="000E520A"/>
    <w:rsid w:val="000F0F42"/>
    <w:rsid w:val="000F4B5C"/>
    <w:rsid w:val="000F5091"/>
    <w:rsid w:val="00107E65"/>
    <w:rsid w:val="001354CC"/>
    <w:rsid w:val="00140324"/>
    <w:rsid w:val="00142E79"/>
    <w:rsid w:val="00145E4B"/>
    <w:rsid w:val="00147FD0"/>
    <w:rsid w:val="00151C74"/>
    <w:rsid w:val="0015503A"/>
    <w:rsid w:val="00156056"/>
    <w:rsid w:val="001725EB"/>
    <w:rsid w:val="001B1126"/>
    <w:rsid w:val="001B1F68"/>
    <w:rsid w:val="001D01C8"/>
    <w:rsid w:val="001D46C8"/>
    <w:rsid w:val="00201C36"/>
    <w:rsid w:val="002270D5"/>
    <w:rsid w:val="00244AFF"/>
    <w:rsid w:val="0027713B"/>
    <w:rsid w:val="00294A11"/>
    <w:rsid w:val="00295930"/>
    <w:rsid w:val="002A2805"/>
    <w:rsid w:val="002A3A2F"/>
    <w:rsid w:val="002A4408"/>
    <w:rsid w:val="002C0A72"/>
    <w:rsid w:val="002C332B"/>
    <w:rsid w:val="002C799C"/>
    <w:rsid w:val="002D3270"/>
    <w:rsid w:val="002D4B2E"/>
    <w:rsid w:val="002D5DF7"/>
    <w:rsid w:val="002E5EF0"/>
    <w:rsid w:val="002E7E73"/>
    <w:rsid w:val="003212C2"/>
    <w:rsid w:val="003317FF"/>
    <w:rsid w:val="0035233D"/>
    <w:rsid w:val="00353D6A"/>
    <w:rsid w:val="003765BB"/>
    <w:rsid w:val="003A464E"/>
    <w:rsid w:val="003B46A3"/>
    <w:rsid w:val="003E4362"/>
    <w:rsid w:val="003F6ABF"/>
    <w:rsid w:val="00402393"/>
    <w:rsid w:val="00404C0C"/>
    <w:rsid w:val="004254CF"/>
    <w:rsid w:val="004418E3"/>
    <w:rsid w:val="004459F3"/>
    <w:rsid w:val="00460166"/>
    <w:rsid w:val="00463701"/>
    <w:rsid w:val="00470C89"/>
    <w:rsid w:val="004764AC"/>
    <w:rsid w:val="0049308A"/>
    <w:rsid w:val="00494D91"/>
    <w:rsid w:val="004A2A65"/>
    <w:rsid w:val="004A66FE"/>
    <w:rsid w:val="004E1A5C"/>
    <w:rsid w:val="00500DC0"/>
    <w:rsid w:val="005043B5"/>
    <w:rsid w:val="005211E9"/>
    <w:rsid w:val="00524338"/>
    <w:rsid w:val="00525630"/>
    <w:rsid w:val="00526546"/>
    <w:rsid w:val="00531BBD"/>
    <w:rsid w:val="0053287D"/>
    <w:rsid w:val="00536A5F"/>
    <w:rsid w:val="0054385F"/>
    <w:rsid w:val="005452B2"/>
    <w:rsid w:val="005556CE"/>
    <w:rsid w:val="00555C97"/>
    <w:rsid w:val="005562D6"/>
    <w:rsid w:val="005675B9"/>
    <w:rsid w:val="00571521"/>
    <w:rsid w:val="00581D61"/>
    <w:rsid w:val="00591CA6"/>
    <w:rsid w:val="005A6B9F"/>
    <w:rsid w:val="005B30A0"/>
    <w:rsid w:val="005D740A"/>
    <w:rsid w:val="00600FD1"/>
    <w:rsid w:val="0060185C"/>
    <w:rsid w:val="0062163B"/>
    <w:rsid w:val="0062721A"/>
    <w:rsid w:val="00633855"/>
    <w:rsid w:val="0063454C"/>
    <w:rsid w:val="00646D3D"/>
    <w:rsid w:val="00663102"/>
    <w:rsid w:val="00670D7E"/>
    <w:rsid w:val="0067289D"/>
    <w:rsid w:val="00674389"/>
    <w:rsid w:val="00674924"/>
    <w:rsid w:val="00685FAB"/>
    <w:rsid w:val="006B6F36"/>
    <w:rsid w:val="006D0893"/>
    <w:rsid w:val="006D213A"/>
    <w:rsid w:val="006F3EDA"/>
    <w:rsid w:val="00710201"/>
    <w:rsid w:val="00723B5B"/>
    <w:rsid w:val="00730F49"/>
    <w:rsid w:val="0074120F"/>
    <w:rsid w:val="00746DE1"/>
    <w:rsid w:val="00761159"/>
    <w:rsid w:val="00771FD6"/>
    <w:rsid w:val="0077283E"/>
    <w:rsid w:val="00775D52"/>
    <w:rsid w:val="00785DC1"/>
    <w:rsid w:val="0079068B"/>
    <w:rsid w:val="00790F83"/>
    <w:rsid w:val="007935AF"/>
    <w:rsid w:val="007D5B7A"/>
    <w:rsid w:val="007E52BE"/>
    <w:rsid w:val="007E5404"/>
    <w:rsid w:val="00802057"/>
    <w:rsid w:val="00814F52"/>
    <w:rsid w:val="008506CF"/>
    <w:rsid w:val="00857442"/>
    <w:rsid w:val="00880E62"/>
    <w:rsid w:val="008815BB"/>
    <w:rsid w:val="00887747"/>
    <w:rsid w:val="008911AA"/>
    <w:rsid w:val="008A2901"/>
    <w:rsid w:val="008B36E7"/>
    <w:rsid w:val="008C44F6"/>
    <w:rsid w:val="008E018F"/>
    <w:rsid w:val="008F424E"/>
    <w:rsid w:val="00933FF2"/>
    <w:rsid w:val="00940F78"/>
    <w:rsid w:val="009528C5"/>
    <w:rsid w:val="00955A18"/>
    <w:rsid w:val="00961E1D"/>
    <w:rsid w:val="00967049"/>
    <w:rsid w:val="009768CE"/>
    <w:rsid w:val="00981F8B"/>
    <w:rsid w:val="00992942"/>
    <w:rsid w:val="009C3ABA"/>
    <w:rsid w:val="009F2923"/>
    <w:rsid w:val="00A039F3"/>
    <w:rsid w:val="00A06294"/>
    <w:rsid w:val="00A270FA"/>
    <w:rsid w:val="00A425F8"/>
    <w:rsid w:val="00A85E97"/>
    <w:rsid w:val="00A86FC1"/>
    <w:rsid w:val="00AA051A"/>
    <w:rsid w:val="00AB2B70"/>
    <w:rsid w:val="00AB4E0D"/>
    <w:rsid w:val="00AC4E5A"/>
    <w:rsid w:val="00AD33B7"/>
    <w:rsid w:val="00AE3703"/>
    <w:rsid w:val="00AE46BA"/>
    <w:rsid w:val="00B04FC7"/>
    <w:rsid w:val="00B168CC"/>
    <w:rsid w:val="00B21A7A"/>
    <w:rsid w:val="00B24F6C"/>
    <w:rsid w:val="00B375FF"/>
    <w:rsid w:val="00B45F14"/>
    <w:rsid w:val="00B54427"/>
    <w:rsid w:val="00B648B4"/>
    <w:rsid w:val="00B652C2"/>
    <w:rsid w:val="00B7388C"/>
    <w:rsid w:val="00B751DF"/>
    <w:rsid w:val="00B97B21"/>
    <w:rsid w:val="00BA141E"/>
    <w:rsid w:val="00BC3887"/>
    <w:rsid w:val="00BD71F9"/>
    <w:rsid w:val="00C00E8D"/>
    <w:rsid w:val="00C037D1"/>
    <w:rsid w:val="00C0680F"/>
    <w:rsid w:val="00C204ED"/>
    <w:rsid w:val="00C4041D"/>
    <w:rsid w:val="00C5697E"/>
    <w:rsid w:val="00C6382C"/>
    <w:rsid w:val="00C64E42"/>
    <w:rsid w:val="00C709F7"/>
    <w:rsid w:val="00C721E5"/>
    <w:rsid w:val="00C74443"/>
    <w:rsid w:val="00C75DF0"/>
    <w:rsid w:val="00C969C2"/>
    <w:rsid w:val="00CB3AD4"/>
    <w:rsid w:val="00CB5AC8"/>
    <w:rsid w:val="00CC074D"/>
    <w:rsid w:val="00CC25B0"/>
    <w:rsid w:val="00CE6F40"/>
    <w:rsid w:val="00D07FDA"/>
    <w:rsid w:val="00D22993"/>
    <w:rsid w:val="00D31DAF"/>
    <w:rsid w:val="00D528F6"/>
    <w:rsid w:val="00D81A3A"/>
    <w:rsid w:val="00D90DBA"/>
    <w:rsid w:val="00D94EC7"/>
    <w:rsid w:val="00DE15DD"/>
    <w:rsid w:val="00DE58A0"/>
    <w:rsid w:val="00DF301D"/>
    <w:rsid w:val="00E40CEF"/>
    <w:rsid w:val="00E41797"/>
    <w:rsid w:val="00E453D1"/>
    <w:rsid w:val="00E536AC"/>
    <w:rsid w:val="00E62B30"/>
    <w:rsid w:val="00E64AD8"/>
    <w:rsid w:val="00E70589"/>
    <w:rsid w:val="00E8612B"/>
    <w:rsid w:val="00EA5D57"/>
    <w:rsid w:val="00ED250B"/>
    <w:rsid w:val="00ED38DD"/>
    <w:rsid w:val="00EF3955"/>
    <w:rsid w:val="00F015B6"/>
    <w:rsid w:val="00F13573"/>
    <w:rsid w:val="00F24E42"/>
    <w:rsid w:val="00F309F0"/>
    <w:rsid w:val="00F4344C"/>
    <w:rsid w:val="00F468E3"/>
    <w:rsid w:val="00F52D2B"/>
    <w:rsid w:val="00F611F5"/>
    <w:rsid w:val="00F66402"/>
    <w:rsid w:val="00F70E05"/>
    <w:rsid w:val="00F74406"/>
    <w:rsid w:val="00F7551A"/>
    <w:rsid w:val="00F805B2"/>
    <w:rsid w:val="00F847A0"/>
    <w:rsid w:val="00FB367C"/>
    <w:rsid w:val="00FC01CA"/>
    <w:rsid w:val="00FC52A8"/>
    <w:rsid w:val="00FD65F2"/>
    <w:rsid w:val="00FE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D3C49"/>
  <w15:docId w15:val="{829A8936-2BC6-410B-ADB4-FACF0BAD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semiHidden="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F40"/>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rsid w:val="00B168CC"/>
    <w:pPr>
      <w:keepNext/>
      <w:spacing w:after="240"/>
      <w:outlineLvl w:val="0"/>
    </w:pPr>
    <w:rPr>
      <w:rFonts w:eastAsiaTheme="majorEastAsia"/>
      <w:b/>
      <w:bCs/>
      <w:caps/>
      <w:kern w:val="28"/>
      <w:szCs w:val="28"/>
    </w:rPr>
  </w:style>
  <w:style w:type="paragraph" w:styleId="Heading2">
    <w:name w:val="heading 2"/>
    <w:basedOn w:val="Normal"/>
    <w:next w:val="Normal"/>
    <w:link w:val="Heading2Char"/>
    <w:uiPriority w:val="9"/>
    <w:rsid w:val="00B168CC"/>
    <w:pPr>
      <w:keepNext/>
      <w:spacing w:after="240"/>
      <w:outlineLvl w:val="1"/>
    </w:pPr>
    <w:rPr>
      <w:rFonts w:eastAsiaTheme="majorEastAsia"/>
      <w:b/>
      <w:bCs/>
      <w:szCs w:val="26"/>
    </w:rPr>
  </w:style>
  <w:style w:type="paragraph" w:styleId="Heading3">
    <w:name w:val="heading 3"/>
    <w:basedOn w:val="Normal"/>
    <w:next w:val="Normal"/>
    <w:link w:val="Heading3Char"/>
    <w:uiPriority w:val="9"/>
    <w:rsid w:val="00B168CC"/>
    <w:pPr>
      <w:spacing w:after="240"/>
      <w:outlineLvl w:val="2"/>
    </w:pPr>
    <w:rPr>
      <w:rFonts w:eastAsiaTheme="majorEastAsia"/>
      <w:bCs/>
    </w:rPr>
  </w:style>
  <w:style w:type="paragraph" w:styleId="Heading4">
    <w:name w:val="heading 4"/>
    <w:basedOn w:val="Normal"/>
    <w:next w:val="Normal"/>
    <w:link w:val="Heading4Char"/>
    <w:uiPriority w:val="9"/>
    <w:rsid w:val="00B168CC"/>
    <w:pPr>
      <w:spacing w:after="240"/>
      <w:outlineLvl w:val="3"/>
    </w:pPr>
    <w:rPr>
      <w:rFonts w:eastAsiaTheme="majorEastAsia"/>
      <w:bCs/>
      <w:iCs/>
    </w:rPr>
  </w:style>
  <w:style w:type="paragraph" w:styleId="Heading5">
    <w:name w:val="heading 5"/>
    <w:basedOn w:val="Normal"/>
    <w:next w:val="Normal"/>
    <w:link w:val="Heading5Char"/>
    <w:uiPriority w:val="9"/>
    <w:rsid w:val="00B168CC"/>
    <w:pPr>
      <w:spacing w:after="240"/>
      <w:outlineLvl w:val="4"/>
    </w:pPr>
    <w:rPr>
      <w:rFonts w:eastAsiaTheme="majorEastAsia"/>
    </w:rPr>
  </w:style>
  <w:style w:type="paragraph" w:styleId="Heading6">
    <w:name w:val="heading 6"/>
    <w:basedOn w:val="Normal"/>
    <w:next w:val="Normal"/>
    <w:link w:val="Heading6Char"/>
    <w:uiPriority w:val="9"/>
    <w:rsid w:val="00B168CC"/>
    <w:pPr>
      <w:spacing w:after="240"/>
      <w:outlineLvl w:val="5"/>
    </w:pPr>
    <w:rPr>
      <w:rFonts w:eastAsiaTheme="majorEastAsia"/>
      <w:iCs/>
    </w:rPr>
  </w:style>
  <w:style w:type="paragraph" w:styleId="Heading7">
    <w:name w:val="heading 7"/>
    <w:basedOn w:val="Normal"/>
    <w:next w:val="Normal"/>
    <w:link w:val="Heading7Char"/>
    <w:uiPriority w:val="9"/>
    <w:rsid w:val="00B168CC"/>
    <w:pPr>
      <w:spacing w:after="240"/>
      <w:outlineLvl w:val="6"/>
    </w:pPr>
    <w:rPr>
      <w:rFonts w:eastAsiaTheme="majorEastAsia"/>
      <w:iCs/>
    </w:rPr>
  </w:style>
  <w:style w:type="paragraph" w:styleId="Heading8">
    <w:name w:val="heading 8"/>
    <w:basedOn w:val="Normal"/>
    <w:next w:val="Normal"/>
    <w:link w:val="Heading8Char"/>
    <w:uiPriority w:val="9"/>
    <w:rsid w:val="00B168CC"/>
    <w:pPr>
      <w:spacing w:after="240"/>
      <w:outlineLvl w:val="7"/>
    </w:pPr>
    <w:rPr>
      <w:rFonts w:eastAsiaTheme="majorEastAsia"/>
      <w:szCs w:val="20"/>
    </w:rPr>
  </w:style>
  <w:style w:type="paragraph" w:styleId="Heading9">
    <w:name w:val="heading 9"/>
    <w:basedOn w:val="Normal"/>
    <w:next w:val="Normal"/>
    <w:link w:val="Heading9Char"/>
    <w:uiPriority w:val="9"/>
    <w:rsid w:val="00B168CC"/>
    <w:pPr>
      <w:spacing w:after="240"/>
      <w:outlineLvl w:val="8"/>
    </w:pPr>
    <w:rPr>
      <w:rFonts w:eastAsiaTheme="majorEastAsia"/>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OFooterL" w:customStyle="1">
    <w:name w:val="AOFooterL"/>
    <w:basedOn w:val="Normal"/>
    <w:link w:val="AOFooterLChar"/>
    <w:qFormat/>
    <w:rsid w:val="00B168CC"/>
    <w:pPr>
      <w:jc w:val="left"/>
    </w:pPr>
    <w:rPr>
      <w:sz w:val="16"/>
    </w:rPr>
  </w:style>
  <w:style w:type="character" w:styleId="AOFooterLChar" w:customStyle="1">
    <w:name w:val="AOFooterL Char"/>
    <w:basedOn w:val="DefaultParagraphFont"/>
    <w:link w:val="AOFooterL"/>
    <w:rsid w:val="00B168CC"/>
    <w:rPr>
      <w:rFonts w:ascii="Times New Roman" w:hAnsi="Times New Roman" w:cs="Times New Roman"/>
      <w:sz w:val="16"/>
      <w:lang w:val="en-GB"/>
    </w:rPr>
  </w:style>
  <w:style w:type="paragraph" w:styleId="AOFooterC" w:customStyle="1">
    <w:name w:val="AOFooterC"/>
    <w:basedOn w:val="AOFooterL"/>
    <w:link w:val="AOFooterCChar"/>
    <w:qFormat/>
    <w:rsid w:val="00B168CC"/>
    <w:pPr>
      <w:jc w:val="center"/>
    </w:pPr>
  </w:style>
  <w:style w:type="character" w:styleId="AOFooterCChar" w:customStyle="1">
    <w:name w:val="AOFooterC Char"/>
    <w:basedOn w:val="DefaultParagraphFont"/>
    <w:link w:val="AOFooterC"/>
    <w:rsid w:val="00B168CC"/>
    <w:rPr>
      <w:rFonts w:ascii="Times New Roman" w:hAnsi="Times New Roman" w:cs="Times New Roman"/>
      <w:sz w:val="16"/>
      <w:lang w:val="en-GB"/>
    </w:rPr>
  </w:style>
  <w:style w:type="paragraph" w:styleId="AOFooterR" w:customStyle="1">
    <w:name w:val="AOFooterR"/>
    <w:basedOn w:val="AOFooterL"/>
    <w:link w:val="AOFooterRChar"/>
    <w:qFormat/>
    <w:rsid w:val="00B168CC"/>
    <w:pPr>
      <w:jc w:val="right"/>
    </w:pPr>
  </w:style>
  <w:style w:type="character" w:styleId="AOFooterRChar" w:customStyle="1">
    <w:name w:val="AOFooterR Char"/>
    <w:basedOn w:val="DefaultParagraphFont"/>
    <w:link w:val="AOFooterR"/>
    <w:rsid w:val="00B168CC"/>
    <w:rPr>
      <w:rFonts w:ascii="Times New Roman" w:hAnsi="Times New Roman" w:cs="Times New Roman"/>
      <w:sz w:val="16"/>
      <w:lang w:val="en-GB"/>
    </w:rPr>
  </w:style>
  <w:style w:type="paragraph" w:styleId="Reference" w:customStyle="1">
    <w:name w:val="Reference"/>
    <w:basedOn w:val="Normal"/>
    <w:link w:val="ReferenceChar"/>
    <w:rsid w:val="00B168CC"/>
    <w:rPr>
      <w:sz w:val="16"/>
    </w:rPr>
  </w:style>
  <w:style w:type="character" w:styleId="ReferenceChar" w:customStyle="1">
    <w:name w:val="Reference Char"/>
    <w:basedOn w:val="DefaultParagraphFont"/>
    <w:link w:val="Reference"/>
    <w:rsid w:val="00CE6F40"/>
    <w:rPr>
      <w:rFonts w:ascii="Times New Roman" w:hAnsi="Times New Roman" w:cs="Times New Roman"/>
      <w:sz w:val="16"/>
      <w:lang w:val="en-GB"/>
    </w:rPr>
  </w:style>
  <w:style w:type="paragraph" w:styleId="Footer">
    <w:name w:val="footer"/>
    <w:basedOn w:val="Normal"/>
    <w:link w:val="FooterChar"/>
    <w:uiPriority w:val="99"/>
    <w:rsid w:val="00B168CC"/>
    <w:pPr>
      <w:tabs>
        <w:tab w:val="center" w:pos="4150"/>
        <w:tab w:val="right" w:pos="8306"/>
      </w:tabs>
    </w:pPr>
  </w:style>
  <w:style w:type="character" w:styleId="FooterChar" w:customStyle="1">
    <w:name w:val="Footer Char"/>
    <w:basedOn w:val="DefaultParagraphFont"/>
    <w:link w:val="Footer"/>
    <w:uiPriority w:val="99"/>
    <w:rsid w:val="00CE6F40"/>
    <w:rPr>
      <w:rFonts w:ascii="Times New Roman" w:hAnsi="Times New Roman" w:cs="Times New Roman"/>
      <w:lang w:val="en-GB"/>
    </w:rPr>
  </w:style>
  <w:style w:type="paragraph" w:styleId="Header">
    <w:name w:val="header"/>
    <w:basedOn w:val="Normal"/>
    <w:link w:val="HeaderChar"/>
    <w:uiPriority w:val="99"/>
    <w:rsid w:val="00B168CC"/>
    <w:pPr>
      <w:tabs>
        <w:tab w:val="center" w:pos="4150"/>
        <w:tab w:val="right" w:pos="8306"/>
      </w:tabs>
    </w:pPr>
  </w:style>
  <w:style w:type="character" w:styleId="HeaderChar" w:customStyle="1">
    <w:name w:val="Header Char"/>
    <w:basedOn w:val="DefaultParagraphFont"/>
    <w:link w:val="Header"/>
    <w:uiPriority w:val="99"/>
    <w:rsid w:val="00CE6F40"/>
    <w:rPr>
      <w:rFonts w:ascii="Times New Roman" w:hAnsi="Times New Roman" w:cs="Times New Roman"/>
      <w:lang w:val="en-GB"/>
    </w:rPr>
  </w:style>
  <w:style w:type="character" w:styleId="Heading1Char" w:customStyle="1">
    <w:name w:val="Heading 1 Char"/>
    <w:basedOn w:val="DefaultParagraphFont"/>
    <w:link w:val="Heading1"/>
    <w:uiPriority w:val="9"/>
    <w:rsid w:val="00CE6F40"/>
    <w:rPr>
      <w:rFonts w:ascii="Times New Roman" w:hAnsi="Times New Roman" w:cs="Times New Roman" w:eastAsiaTheme="majorEastAsia"/>
      <w:b/>
      <w:bCs/>
      <w:caps/>
      <w:kern w:val="28"/>
      <w:szCs w:val="28"/>
      <w:lang w:val="en-GB"/>
    </w:rPr>
  </w:style>
  <w:style w:type="character" w:styleId="Heading2Char" w:customStyle="1">
    <w:name w:val="Heading 2 Char"/>
    <w:basedOn w:val="DefaultParagraphFont"/>
    <w:link w:val="Heading2"/>
    <w:uiPriority w:val="9"/>
    <w:rsid w:val="00CE6F40"/>
    <w:rPr>
      <w:rFonts w:ascii="Times New Roman" w:hAnsi="Times New Roman" w:cs="Times New Roman" w:eastAsiaTheme="majorEastAsia"/>
      <w:b/>
      <w:bCs/>
      <w:szCs w:val="26"/>
      <w:lang w:val="en-GB"/>
    </w:rPr>
  </w:style>
  <w:style w:type="character" w:styleId="Heading3Char" w:customStyle="1">
    <w:name w:val="Heading 3 Char"/>
    <w:basedOn w:val="DefaultParagraphFont"/>
    <w:link w:val="Heading3"/>
    <w:uiPriority w:val="9"/>
    <w:rsid w:val="00CE6F40"/>
    <w:rPr>
      <w:rFonts w:ascii="Times New Roman" w:hAnsi="Times New Roman" w:cs="Times New Roman" w:eastAsiaTheme="majorEastAsia"/>
      <w:bCs/>
      <w:lang w:val="en-GB"/>
    </w:rPr>
  </w:style>
  <w:style w:type="character" w:styleId="Heading4Char" w:customStyle="1">
    <w:name w:val="Heading 4 Char"/>
    <w:basedOn w:val="DefaultParagraphFont"/>
    <w:link w:val="Heading4"/>
    <w:uiPriority w:val="9"/>
    <w:rsid w:val="00CE6F40"/>
    <w:rPr>
      <w:rFonts w:ascii="Times New Roman" w:hAnsi="Times New Roman" w:cs="Times New Roman" w:eastAsiaTheme="majorEastAsia"/>
      <w:bCs/>
      <w:iCs/>
      <w:lang w:val="en-GB"/>
    </w:rPr>
  </w:style>
  <w:style w:type="character" w:styleId="Heading5Char" w:customStyle="1">
    <w:name w:val="Heading 5 Char"/>
    <w:basedOn w:val="DefaultParagraphFont"/>
    <w:link w:val="Heading5"/>
    <w:uiPriority w:val="9"/>
    <w:rsid w:val="00CE6F40"/>
    <w:rPr>
      <w:rFonts w:ascii="Times New Roman" w:hAnsi="Times New Roman" w:cs="Times New Roman" w:eastAsiaTheme="majorEastAsia"/>
      <w:lang w:val="en-GB"/>
    </w:rPr>
  </w:style>
  <w:style w:type="character" w:styleId="Heading6Char" w:customStyle="1">
    <w:name w:val="Heading 6 Char"/>
    <w:basedOn w:val="DefaultParagraphFont"/>
    <w:link w:val="Heading6"/>
    <w:uiPriority w:val="9"/>
    <w:rsid w:val="00CE6F40"/>
    <w:rPr>
      <w:rFonts w:ascii="Times New Roman" w:hAnsi="Times New Roman" w:cs="Times New Roman" w:eastAsiaTheme="majorEastAsia"/>
      <w:iCs/>
      <w:lang w:val="en-GB"/>
    </w:rPr>
  </w:style>
  <w:style w:type="character" w:styleId="Heading7Char" w:customStyle="1">
    <w:name w:val="Heading 7 Char"/>
    <w:basedOn w:val="DefaultParagraphFont"/>
    <w:link w:val="Heading7"/>
    <w:uiPriority w:val="9"/>
    <w:rsid w:val="00CE6F40"/>
    <w:rPr>
      <w:rFonts w:ascii="Times New Roman" w:hAnsi="Times New Roman" w:cs="Times New Roman" w:eastAsiaTheme="majorEastAsia"/>
      <w:iCs/>
      <w:lang w:val="en-GB"/>
    </w:rPr>
  </w:style>
  <w:style w:type="character" w:styleId="Heading8Char" w:customStyle="1">
    <w:name w:val="Heading 8 Char"/>
    <w:basedOn w:val="DefaultParagraphFont"/>
    <w:link w:val="Heading8"/>
    <w:uiPriority w:val="9"/>
    <w:rsid w:val="00CE6F40"/>
    <w:rPr>
      <w:rFonts w:ascii="Times New Roman" w:hAnsi="Times New Roman" w:cs="Times New Roman" w:eastAsiaTheme="majorEastAsia"/>
      <w:szCs w:val="20"/>
      <w:lang w:val="en-GB"/>
    </w:rPr>
  </w:style>
  <w:style w:type="character" w:styleId="Heading9Char" w:customStyle="1">
    <w:name w:val="Heading 9 Char"/>
    <w:basedOn w:val="DefaultParagraphFont"/>
    <w:link w:val="Heading9"/>
    <w:uiPriority w:val="9"/>
    <w:rsid w:val="00CE6F40"/>
    <w:rPr>
      <w:rFonts w:ascii="Times New Roman" w:hAnsi="Times New Roman" w:cs="Times New Roman" w:eastAsiaTheme="majorEastAsia"/>
      <w:iCs/>
      <w:szCs w:val="20"/>
      <w:lang w:val="en-GB"/>
    </w:rPr>
  </w:style>
  <w:style w:type="paragraph" w:styleId="TOC1">
    <w:name w:val="toc 1"/>
    <w:basedOn w:val="Normal"/>
    <w:next w:val="Normal"/>
    <w:autoRedefine/>
    <w:uiPriority w:val="39"/>
    <w:rsid w:val="003317FF"/>
    <w:pPr>
      <w:tabs>
        <w:tab w:val="left" w:pos="720"/>
        <w:tab w:val="right" w:leader="dot" w:pos="9026"/>
      </w:tabs>
      <w:ind w:left="720" w:hanging="720"/>
      <w:jc w:val="left"/>
    </w:pPr>
  </w:style>
  <w:style w:type="paragraph" w:styleId="TOC2">
    <w:name w:val="toc 2"/>
    <w:basedOn w:val="Normal"/>
    <w:next w:val="Normal"/>
    <w:autoRedefine/>
    <w:uiPriority w:val="39"/>
    <w:rsid w:val="00B168CC"/>
    <w:pPr>
      <w:tabs>
        <w:tab w:val="right" w:pos="720"/>
        <w:tab w:val="right" w:pos="850"/>
        <w:tab w:val="decimal" w:leader="dot" w:pos="8997"/>
      </w:tabs>
      <w:ind w:left="1440" w:hanging="720"/>
    </w:pPr>
  </w:style>
  <w:style w:type="paragraph" w:styleId="TOC3">
    <w:name w:val="toc 3"/>
    <w:basedOn w:val="Normal"/>
    <w:next w:val="Normal"/>
    <w:autoRedefine/>
    <w:uiPriority w:val="39"/>
    <w:rsid w:val="00D81A3A"/>
    <w:pPr>
      <w:numPr>
        <w:numId w:val="16"/>
      </w:numPr>
    </w:pPr>
  </w:style>
  <w:style w:type="paragraph" w:styleId="TOC4">
    <w:name w:val="toc 4"/>
    <w:basedOn w:val="Normal"/>
    <w:next w:val="Normal"/>
    <w:autoRedefine/>
    <w:uiPriority w:val="39"/>
    <w:rsid w:val="00460166"/>
    <w:pPr>
      <w:numPr>
        <w:numId w:val="17"/>
      </w:numPr>
      <w:tabs>
        <w:tab w:val="right" w:leader="dot" w:pos="9016"/>
      </w:tabs>
    </w:pPr>
  </w:style>
  <w:style w:type="paragraph" w:styleId="TOC5">
    <w:name w:val="toc 5"/>
    <w:basedOn w:val="Normal"/>
    <w:next w:val="Normal"/>
    <w:autoRedefine/>
    <w:uiPriority w:val="39"/>
    <w:rsid w:val="00460166"/>
    <w:pPr>
      <w:tabs>
        <w:tab w:val="right" w:leader="dot" w:pos="9016"/>
      </w:tabs>
      <w:spacing w:before="240"/>
    </w:pPr>
  </w:style>
  <w:style w:type="paragraph" w:styleId="TOC6">
    <w:name w:val="toc 6"/>
    <w:basedOn w:val="Normal"/>
    <w:next w:val="Normal"/>
    <w:autoRedefine/>
    <w:uiPriority w:val="39"/>
    <w:rsid w:val="00B168CC"/>
    <w:pPr>
      <w:ind w:left="1094"/>
    </w:pPr>
  </w:style>
  <w:style w:type="paragraph" w:styleId="TOC7">
    <w:name w:val="toc 7"/>
    <w:basedOn w:val="Normal"/>
    <w:next w:val="Normal"/>
    <w:autoRedefine/>
    <w:uiPriority w:val="39"/>
    <w:rsid w:val="00B168CC"/>
    <w:pPr>
      <w:ind w:left="1327"/>
    </w:pPr>
  </w:style>
  <w:style w:type="paragraph" w:styleId="TOC8">
    <w:name w:val="toc 8"/>
    <w:basedOn w:val="Normal"/>
    <w:next w:val="Normal"/>
    <w:autoRedefine/>
    <w:uiPriority w:val="39"/>
    <w:rsid w:val="00B168CC"/>
    <w:pPr>
      <w:ind w:left="1542"/>
    </w:pPr>
  </w:style>
  <w:style w:type="paragraph" w:styleId="TOC9">
    <w:name w:val="toc 9"/>
    <w:basedOn w:val="Normal"/>
    <w:next w:val="Normal"/>
    <w:autoRedefine/>
    <w:uiPriority w:val="39"/>
    <w:rsid w:val="00B168CC"/>
    <w:pPr>
      <w:ind w:left="1757"/>
    </w:pPr>
  </w:style>
  <w:style w:type="table" w:styleId="TableGrid">
    <w:name w:val="Table Grid"/>
    <w:basedOn w:val="TableNormal"/>
    <w:uiPriority w:val="59"/>
    <w:rsid w:val="00A86FC1"/>
    <w:pPr>
      <w:spacing w:after="0" w:line="240" w:lineRule="auto"/>
    </w:pPr>
    <w:tblPr>
      <w:tblCellMar>
        <w:left w:w="0" w:type="dxa"/>
        <w:right w:w="0" w:type="dxa"/>
      </w:tblCellMar>
    </w:tblPr>
  </w:style>
  <w:style w:type="paragraph" w:styleId="BText" w:customStyle="1">
    <w:name w:val="BText"/>
    <w:basedOn w:val="Normal"/>
    <w:qFormat/>
    <w:rsid w:val="005D740A"/>
    <w:pPr>
      <w:spacing w:before="240" w:line="260" w:lineRule="atLeast"/>
    </w:pPr>
  </w:style>
  <w:style w:type="paragraph" w:styleId="BText1" w:customStyle="1">
    <w:name w:val="BText1"/>
    <w:basedOn w:val="BText"/>
    <w:qFormat/>
    <w:rsid w:val="005D740A"/>
    <w:pPr>
      <w:ind w:left="720"/>
    </w:pPr>
  </w:style>
  <w:style w:type="paragraph" w:styleId="DefNum1" w:customStyle="1">
    <w:name w:val="DefNum1"/>
    <w:basedOn w:val="BText1"/>
    <w:rsid w:val="005D740A"/>
    <w:pPr>
      <w:numPr>
        <w:ilvl w:val="1"/>
        <w:numId w:val="2"/>
      </w:numPr>
    </w:pPr>
  </w:style>
  <w:style w:type="paragraph" w:styleId="DefText" w:customStyle="1">
    <w:name w:val="DefText"/>
    <w:basedOn w:val="BText"/>
    <w:qFormat/>
    <w:rsid w:val="005D740A"/>
    <w:pPr>
      <w:numPr>
        <w:numId w:val="2"/>
      </w:numPr>
    </w:pPr>
  </w:style>
  <w:style w:type="paragraph" w:styleId="Num1" w:customStyle="1">
    <w:name w:val="Num1"/>
    <w:basedOn w:val="BText"/>
    <w:qFormat/>
    <w:rsid w:val="005D740A"/>
    <w:pPr>
      <w:numPr>
        <w:numId w:val="4"/>
      </w:numPr>
    </w:pPr>
  </w:style>
  <w:style w:type="paragraph" w:styleId="Num2" w:customStyle="1">
    <w:name w:val="Num2"/>
    <w:basedOn w:val="BText"/>
    <w:rsid w:val="005D740A"/>
    <w:pPr>
      <w:numPr>
        <w:ilvl w:val="1"/>
        <w:numId w:val="4"/>
      </w:numPr>
    </w:pPr>
  </w:style>
  <w:style w:type="paragraph" w:styleId="OutNum1" w:customStyle="1">
    <w:name w:val="OutNum1"/>
    <w:basedOn w:val="BText"/>
    <w:qFormat/>
    <w:rsid w:val="0079068B"/>
    <w:pPr>
      <w:numPr>
        <w:numId w:val="8"/>
      </w:numPr>
      <w:jc w:val="left"/>
      <w:outlineLvl w:val="0"/>
    </w:pPr>
    <w:rPr>
      <w:rFonts w:ascii="Times New Roman Bold" w:hAnsi="Times New Roman Bold"/>
      <w:b/>
      <w:caps/>
    </w:rPr>
  </w:style>
  <w:style w:type="paragraph" w:styleId="OutNum2" w:customStyle="1">
    <w:name w:val="OutNum2"/>
    <w:basedOn w:val="BText"/>
    <w:rsid w:val="0079068B"/>
    <w:pPr>
      <w:numPr>
        <w:ilvl w:val="1"/>
        <w:numId w:val="8"/>
      </w:numPr>
      <w:outlineLvl w:val="1"/>
    </w:pPr>
    <w:rPr>
      <w:b/>
    </w:rPr>
  </w:style>
  <w:style w:type="paragraph" w:styleId="OutNum3" w:customStyle="1">
    <w:name w:val="OutNum3"/>
    <w:basedOn w:val="BText"/>
    <w:rsid w:val="0079068B"/>
    <w:pPr>
      <w:numPr>
        <w:ilvl w:val="2"/>
        <w:numId w:val="8"/>
      </w:numPr>
      <w:outlineLvl w:val="2"/>
    </w:pPr>
  </w:style>
  <w:style w:type="paragraph" w:styleId="OutNum4" w:customStyle="1">
    <w:name w:val="OutNum4"/>
    <w:basedOn w:val="BText"/>
    <w:rsid w:val="0079068B"/>
    <w:pPr>
      <w:numPr>
        <w:ilvl w:val="3"/>
        <w:numId w:val="8"/>
      </w:numPr>
      <w:outlineLvl w:val="3"/>
    </w:pPr>
  </w:style>
  <w:style w:type="paragraph" w:styleId="SchdH" w:customStyle="1">
    <w:name w:val="SchdH"/>
    <w:basedOn w:val="BText"/>
    <w:qFormat/>
    <w:rsid w:val="0079068B"/>
    <w:pPr>
      <w:pageBreakBefore/>
      <w:numPr>
        <w:numId w:val="12"/>
      </w:numPr>
      <w:jc w:val="center"/>
      <w:outlineLvl w:val="4"/>
    </w:pPr>
    <w:rPr>
      <w:b/>
    </w:rPr>
  </w:style>
  <w:style w:type="paragraph" w:styleId="SchdNum1" w:customStyle="1">
    <w:name w:val="SchdNum1"/>
    <w:basedOn w:val="BText"/>
    <w:qFormat/>
    <w:rsid w:val="0079068B"/>
    <w:pPr>
      <w:numPr>
        <w:numId w:val="11"/>
      </w:numPr>
      <w:outlineLvl w:val="5"/>
    </w:pPr>
    <w:rPr>
      <w:rFonts w:ascii="Times New Roman Bold" w:hAnsi="Times New Roman Bold"/>
      <w:b/>
      <w:caps/>
    </w:rPr>
  </w:style>
  <w:style w:type="paragraph" w:styleId="SchdNum2" w:customStyle="1">
    <w:name w:val="SchdNum2"/>
    <w:basedOn w:val="BText"/>
    <w:rsid w:val="0079068B"/>
    <w:pPr>
      <w:numPr>
        <w:ilvl w:val="1"/>
        <w:numId w:val="11"/>
      </w:numPr>
      <w:outlineLvl w:val="6"/>
    </w:pPr>
  </w:style>
  <w:style w:type="paragraph" w:styleId="SchdT" w:customStyle="1">
    <w:name w:val="SchdT"/>
    <w:basedOn w:val="BText"/>
    <w:rsid w:val="0079068B"/>
    <w:pPr>
      <w:numPr>
        <w:ilvl w:val="1"/>
        <w:numId w:val="12"/>
      </w:numPr>
      <w:jc w:val="center"/>
      <w:outlineLvl w:val="4"/>
    </w:pPr>
    <w:rPr>
      <w:rFonts w:ascii="Times New Roman Bold" w:hAnsi="Times New Roman Bold"/>
      <w:b/>
      <w:caps/>
    </w:rPr>
  </w:style>
  <w:style w:type="paragraph" w:styleId="SigTitle" w:customStyle="1">
    <w:name w:val="SigTitle"/>
    <w:basedOn w:val="BText"/>
    <w:qFormat/>
    <w:rsid w:val="005D740A"/>
    <w:pPr>
      <w:pageBreakBefore/>
      <w:jc w:val="center"/>
    </w:pPr>
    <w:rPr>
      <w:rFonts w:ascii="Times New Roman Bold" w:hAnsi="Times New Roman Bold"/>
      <w:b/>
      <w:caps/>
    </w:rPr>
  </w:style>
  <w:style w:type="paragraph" w:styleId="AltOutNum2" w:customStyle="1">
    <w:name w:val="AltOutNum2"/>
    <w:basedOn w:val="OutNum2"/>
    <w:qFormat/>
    <w:rsid w:val="0079068B"/>
    <w:rPr>
      <w:b w:val="0"/>
    </w:rPr>
  </w:style>
  <w:style w:type="paragraph" w:styleId="AltOutNum3" w:customStyle="1">
    <w:name w:val="AltOutNum3"/>
    <w:basedOn w:val="OutNum3"/>
    <w:qFormat/>
    <w:rsid w:val="0079068B"/>
  </w:style>
  <w:style w:type="paragraph" w:styleId="AltOutNum4" w:customStyle="1">
    <w:name w:val="AltOutNum4"/>
    <w:basedOn w:val="OutNum4"/>
    <w:qFormat/>
    <w:rsid w:val="0079068B"/>
    <w:pPr>
      <w:ind w:left="1440"/>
    </w:pPr>
  </w:style>
  <w:style w:type="paragraph" w:styleId="SchdNum3" w:customStyle="1">
    <w:name w:val="SchdNum3"/>
    <w:basedOn w:val="BText"/>
    <w:rsid w:val="0079068B"/>
    <w:pPr>
      <w:numPr>
        <w:ilvl w:val="2"/>
        <w:numId w:val="11"/>
      </w:numPr>
      <w:outlineLvl w:val="7"/>
    </w:pPr>
  </w:style>
  <w:style w:type="paragraph" w:styleId="SchdNum4" w:customStyle="1">
    <w:name w:val="SchdNum4"/>
    <w:basedOn w:val="BText"/>
    <w:rsid w:val="0079068B"/>
    <w:pPr>
      <w:numPr>
        <w:ilvl w:val="3"/>
        <w:numId w:val="11"/>
      </w:numPr>
      <w:outlineLvl w:val="8"/>
    </w:pPr>
  </w:style>
  <w:style w:type="paragraph" w:styleId="FootnoteText">
    <w:name w:val="footnote text"/>
    <w:basedOn w:val="Normal"/>
    <w:link w:val="FootnoteTextChar"/>
    <w:uiPriority w:val="99"/>
    <w:semiHidden/>
    <w:unhideWhenUsed/>
    <w:rsid w:val="00470C89"/>
    <w:rPr>
      <w:sz w:val="16"/>
      <w:szCs w:val="20"/>
    </w:rPr>
  </w:style>
  <w:style w:type="character" w:styleId="FootnoteTextChar" w:customStyle="1">
    <w:name w:val="Footnote Text Char"/>
    <w:basedOn w:val="DefaultParagraphFont"/>
    <w:link w:val="FootnoteText"/>
    <w:uiPriority w:val="99"/>
    <w:semiHidden/>
    <w:rsid w:val="00470C89"/>
    <w:rPr>
      <w:rFonts w:ascii="Times New Roman" w:hAnsi="Times New Roman" w:cs="Times New Roman"/>
      <w:sz w:val="16"/>
      <w:szCs w:val="20"/>
    </w:rPr>
  </w:style>
  <w:style w:type="paragraph" w:styleId="BalloonText">
    <w:name w:val="Balloon Text"/>
    <w:basedOn w:val="Normal"/>
    <w:link w:val="BalloonTextChar"/>
    <w:uiPriority w:val="99"/>
    <w:semiHidden/>
    <w:unhideWhenUsed/>
    <w:rsid w:val="00F015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15B6"/>
    <w:rPr>
      <w:rFonts w:ascii="Segoe UI" w:hAnsi="Segoe UI" w:cs="Segoe UI"/>
      <w:sz w:val="18"/>
      <w:szCs w:val="18"/>
    </w:rPr>
  </w:style>
  <w:style w:type="paragraph" w:styleId="Revision">
    <w:name w:val="Revision"/>
    <w:hidden/>
    <w:uiPriority w:val="99"/>
    <w:semiHidden/>
    <w:rsid w:val="00785DC1"/>
    <w:pPr>
      <w:spacing w:after="0" w:line="240" w:lineRule="auto"/>
    </w:pPr>
    <w:rPr>
      <w:rFonts w:ascii="Times New Roman" w:hAnsi="Times New Roman" w:cs="Times New Roman"/>
    </w:rPr>
  </w:style>
  <w:style w:type="character" w:styleId="FootnoteReference">
    <w:name w:val="footnote reference"/>
    <w:basedOn w:val="DefaultParagraphFont"/>
    <w:uiPriority w:val="99"/>
    <w:semiHidden/>
    <w:unhideWhenUsed/>
    <w:rsid w:val="00685FAB"/>
    <w:rPr>
      <w:vertAlign w:val="superscript"/>
    </w:rPr>
  </w:style>
  <w:style w:type="paragraph" w:styleId="6levelheadingRLN" w:customStyle="1">
    <w:name w:val="6. level heading (RLN)"/>
    <w:basedOn w:val="Heading6"/>
    <w:rsid w:val="00DE15DD"/>
    <w:pPr>
      <w:keepNext/>
      <w:tabs>
        <w:tab w:val="num" w:pos="4320"/>
      </w:tabs>
      <w:overflowPunct w:val="0"/>
      <w:autoSpaceDE w:val="0"/>
      <w:autoSpaceDN w:val="0"/>
      <w:adjustRightInd w:val="0"/>
      <w:spacing w:after="120" w:line="276" w:lineRule="auto"/>
      <w:ind w:left="4320" w:hanging="720"/>
    </w:pPr>
    <w:rPr>
      <w:rFonts w:ascii="Garamond" w:hAnsi="Garamond" w:eastAsia="Arial Unicode MS" w:cs="Arial"/>
      <w:b/>
      <w:bCs/>
      <w:iCs w:val="0"/>
      <w:caps/>
      <w:sz w:val="24"/>
    </w:rPr>
  </w:style>
  <w:style w:type="character" w:styleId="Hyperlink">
    <w:name w:val="Hyperlink"/>
    <w:basedOn w:val="DefaultParagraphFont"/>
    <w:uiPriority w:val="99"/>
    <w:unhideWhenUsed/>
    <w:rsid w:val="005452B2"/>
    <w:rPr>
      <w:color w:val="0000FF" w:themeColor="hyperlink"/>
      <w:u w:val="single"/>
    </w:rPr>
  </w:style>
  <w:style w:type="character" w:styleId="UnresolvedMention">
    <w:name w:val="Unresolved Mention"/>
    <w:basedOn w:val="DefaultParagraphFont"/>
    <w:uiPriority w:val="99"/>
    <w:semiHidden/>
    <w:unhideWhenUsed/>
    <w:rsid w:val="0054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9451">
      <w:bodyDiv w:val="1"/>
      <w:marLeft w:val="0"/>
      <w:marRight w:val="0"/>
      <w:marTop w:val="0"/>
      <w:marBottom w:val="0"/>
      <w:divBdr>
        <w:top w:val="none" w:sz="0" w:space="0" w:color="auto"/>
        <w:left w:val="none" w:sz="0" w:space="0" w:color="auto"/>
        <w:bottom w:val="none" w:sz="0" w:space="0" w:color="auto"/>
        <w:right w:val="none" w:sz="0" w:space="0" w:color="auto"/>
      </w:divBdr>
    </w:div>
    <w:div w:id="207499696">
      <w:bodyDiv w:val="1"/>
      <w:marLeft w:val="0"/>
      <w:marRight w:val="0"/>
      <w:marTop w:val="0"/>
      <w:marBottom w:val="0"/>
      <w:divBdr>
        <w:top w:val="none" w:sz="0" w:space="0" w:color="auto"/>
        <w:left w:val="none" w:sz="0" w:space="0" w:color="auto"/>
        <w:bottom w:val="none" w:sz="0" w:space="0" w:color="auto"/>
        <w:right w:val="none" w:sz="0" w:space="0" w:color="auto"/>
      </w:divBdr>
    </w:div>
    <w:div w:id="818303871">
      <w:bodyDiv w:val="1"/>
      <w:marLeft w:val="0"/>
      <w:marRight w:val="0"/>
      <w:marTop w:val="0"/>
      <w:marBottom w:val="0"/>
      <w:divBdr>
        <w:top w:val="none" w:sz="0" w:space="0" w:color="auto"/>
        <w:left w:val="none" w:sz="0" w:space="0" w:color="auto"/>
        <w:bottom w:val="none" w:sz="0" w:space="0" w:color="auto"/>
        <w:right w:val="none" w:sz="0" w:space="0" w:color="auto"/>
      </w:divBdr>
    </w:div>
    <w:div w:id="909123334">
      <w:bodyDiv w:val="1"/>
      <w:marLeft w:val="0"/>
      <w:marRight w:val="0"/>
      <w:marTop w:val="0"/>
      <w:marBottom w:val="0"/>
      <w:divBdr>
        <w:top w:val="none" w:sz="0" w:space="0" w:color="auto"/>
        <w:left w:val="none" w:sz="0" w:space="0" w:color="auto"/>
        <w:bottom w:val="none" w:sz="0" w:space="0" w:color="auto"/>
        <w:right w:val="none" w:sz="0" w:space="0" w:color="auto"/>
      </w:divBdr>
    </w:div>
    <w:div w:id="1029332862">
      <w:bodyDiv w:val="1"/>
      <w:marLeft w:val="0"/>
      <w:marRight w:val="0"/>
      <w:marTop w:val="0"/>
      <w:marBottom w:val="0"/>
      <w:divBdr>
        <w:top w:val="none" w:sz="0" w:space="0" w:color="auto"/>
        <w:left w:val="none" w:sz="0" w:space="0" w:color="auto"/>
        <w:bottom w:val="none" w:sz="0" w:space="0" w:color="auto"/>
        <w:right w:val="none" w:sz="0" w:space="0" w:color="auto"/>
      </w:divBdr>
    </w:div>
    <w:div w:id="1069352605">
      <w:bodyDiv w:val="1"/>
      <w:marLeft w:val="0"/>
      <w:marRight w:val="0"/>
      <w:marTop w:val="0"/>
      <w:marBottom w:val="0"/>
      <w:divBdr>
        <w:top w:val="none" w:sz="0" w:space="0" w:color="auto"/>
        <w:left w:val="none" w:sz="0" w:space="0" w:color="auto"/>
        <w:bottom w:val="none" w:sz="0" w:space="0" w:color="auto"/>
        <w:right w:val="none" w:sz="0" w:space="0" w:color="auto"/>
      </w:divBdr>
    </w:div>
    <w:div w:id="1317297612">
      <w:bodyDiv w:val="1"/>
      <w:marLeft w:val="0"/>
      <w:marRight w:val="0"/>
      <w:marTop w:val="0"/>
      <w:marBottom w:val="0"/>
      <w:divBdr>
        <w:top w:val="none" w:sz="0" w:space="0" w:color="auto"/>
        <w:left w:val="none" w:sz="0" w:space="0" w:color="auto"/>
        <w:bottom w:val="none" w:sz="0" w:space="0" w:color="auto"/>
        <w:right w:val="none" w:sz="0" w:space="0" w:color="auto"/>
      </w:divBdr>
    </w:div>
    <w:div w:id="1624380166">
      <w:bodyDiv w:val="1"/>
      <w:marLeft w:val="0"/>
      <w:marRight w:val="0"/>
      <w:marTop w:val="0"/>
      <w:marBottom w:val="0"/>
      <w:divBdr>
        <w:top w:val="none" w:sz="0" w:space="0" w:color="auto"/>
        <w:left w:val="none" w:sz="0" w:space="0" w:color="auto"/>
        <w:bottom w:val="none" w:sz="0" w:space="0" w:color="auto"/>
        <w:right w:val="none" w:sz="0" w:space="0" w:color="auto"/>
      </w:divBdr>
    </w:div>
    <w:div w:id="20047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czechstartupdoc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ageDocumentType">
    <vt:lpwstr>DOCUMENT</vt:lpwstr>
  </op:property>
  <op:property fmtid="{D5CDD505-2E9C-101B-9397-08002B2CF9AE}" pid="3" name="AddinActions">
    <vt:lpwstr>ICMSpecial*AttachTemplate*DeleteEmptyRows</vt:lpwstr>
  </op:property>
  <op:property fmtid="{D5CDD505-2E9C-101B-9397-08002B2CF9AE}" pid="4" name="Client_src">
    <vt:lpwstr>{IMan.imProfileCustom1}</vt:lpwstr>
  </op:property>
  <op:property fmtid="{D5CDD505-2E9C-101B-9397-08002B2CF9AE}" pid="5" name="Matter_src">
    <vt:lpwstr>{IMan.imProfileCustom2}</vt:lpwstr>
  </op:property>
  <op:property fmtid="{D5CDD505-2E9C-101B-9397-08002B2CF9AE}" pid="6" name="cpClientMatter_src">
    <vt:lpwstr>{IMan.imProfileCustom1}-{IMan.imProfileCustom2}</vt:lpwstr>
  </op:property>
  <op:property fmtid="{D5CDD505-2E9C-101B-9397-08002B2CF9AE}" pid="7" name="cpDocRef_src">
    <vt:lpwstr>{IMan.Database.Name}: {IMan.Number}.{IMan.Version}</vt:lpwstr>
  </op:property>
  <op:property fmtid="{D5CDD505-2E9C-101B-9397-08002B2CF9AE}" pid="8" name="cpCombinedRef_src">
    <vt:lpwstr>{IMan.imProfileCustom1}-{IMan.imProfileCustom2} {IMan.Database.Name}: {IMan.Number}.{IMan.Version}</vt:lpwstr>
  </op:property>
  <op:property fmtid="{D5CDD505-2E9C-101B-9397-08002B2CF9AE}" pid="9" name="ContentTypeId">
    <vt:lpwstr>0x0101008E1931B9D01341BF82A1BE848E2F0648000D63B21F009B944AA79D7724E168C8DD</vt:lpwstr>
  </op:property>
  <op:property fmtid="{D5CDD505-2E9C-101B-9397-08002B2CF9AE}" pid="10" name="DisplayName">
    <vt:lpwstr>ICM Special</vt:lpwstr>
  </op:property>
  <op:property fmtid="{D5CDD505-2E9C-101B-9397-08002B2CF9AE}" pid="11" name="DMProfile">
    <vt:lpwstr>Document</vt:lpwstr>
  </op:property>
  <op:property fmtid="{D5CDD505-2E9C-101B-9397-08002B2CF9AE}" pid="12" name="FilePedigree">
    <vt:lpwstr>OSAX</vt:lpwstr>
  </op:property>
  <op:property fmtid="{D5CDD505-2E9C-101B-9397-08002B2CF9AE}" pid="13" name="TemplateFileName">
    <vt:lpwstr>ICMSpecial.dotm</vt:lpwstr>
  </op:property>
  <op:property fmtid="{D5CDD505-2E9C-101B-9397-08002B2CF9AE}" pid="14" name="OSADocumentType">
    <vt:lpwstr>20</vt:lpwstr>
  </op:property>
  <op:property fmtid="{D5CDD505-2E9C-101B-9397-08002B2CF9AE}" pid="15" name="TemplateName">
    <vt:lpwstr>ICMSpecial.dotm</vt:lpwstr>
  </op:property>
  <op:property fmtid="{D5CDD505-2E9C-101B-9397-08002B2CF9AE}" pid="16" name="cpFooterText">
    <vt:lpwstr/>
  </op:property>
  <op:property fmtid="{D5CDD505-2E9C-101B-9397-08002B2CF9AE}" pid="17" name="cpHeaderText">
    <vt:lpwstr/>
  </op:property>
  <op:property fmtid="{D5CDD505-2E9C-101B-9397-08002B2CF9AE}" pid="18" name="TemplafyTenantId">
    <vt:lpwstr>allenovery</vt:lpwstr>
  </op:property>
  <op:property fmtid="{D5CDD505-2E9C-101B-9397-08002B2CF9AE}" pid="19" name="TemplafyTemplateId">
    <vt:lpwstr>636558535859214434</vt:lpwstr>
  </op:property>
  <op:property fmtid="{D5CDD505-2E9C-101B-9397-08002B2CF9AE}" pid="22" name="AuthorDescription">
    <vt:lpwstr/>
  </op:property>
  <op:property fmtid="{D5CDD505-2E9C-101B-9397-08002B2CF9AE}" pid="23" name="AuthorName">
    <vt:lpwstr>Allen &amp; Overy</vt:lpwstr>
  </op:property>
  <op:property fmtid="{D5CDD505-2E9C-101B-9397-08002B2CF9AE}" pid="25" name="AuthorJobTitle">
    <vt:lpwstr/>
  </op:property>
  <op:property fmtid="{D5CDD505-2E9C-101B-9397-08002B2CF9AE}" pid="26" name="AuthorEmail">
    <vt:lpwstr/>
  </op:property>
  <op:property fmtid="{D5CDD505-2E9C-101B-9397-08002B2CF9AE}" pid="27" name="AuthorDirectLine">
    <vt:lpwstr/>
  </op:property>
  <op:property fmtid="{D5CDD505-2E9C-101B-9397-08002B2CF9AE}" pid="28" name="AuthorMobilePhone">
    <vt:lpwstr/>
  </op:property>
  <op:property fmtid="{D5CDD505-2E9C-101B-9397-08002B2CF9AE}" pid="29" name="AuthorPersonalFax">
    <vt:lpwstr/>
  </op:property>
  <op:property fmtid="{D5CDD505-2E9C-101B-9397-08002B2CF9AE}" pid="30" name="OurRef">
    <vt:lpwstr>A&amp;O</vt:lpwstr>
  </op:property>
  <op:property fmtid="{D5CDD505-2E9C-101B-9397-08002B2CF9AE}" pid="31" name="OfficeID">
    <vt:lpwstr>Prague - Law</vt:lpwstr>
  </op:property>
  <op:property fmtid="{D5CDD505-2E9C-101B-9397-08002B2CF9AE}" pid="32" name="LanguageID">
    <vt:lpwstr>English (UK)</vt:lpwstr>
  </op:property>
  <op:property fmtid="{D5CDD505-2E9C-101B-9397-08002B2CF9AE}" pid="33" name="MSIP_Label_42e67a54-274b-43d7-8098-b3ba5f50e576_Enabled">
    <vt:lpwstr>true</vt:lpwstr>
  </op:property>
  <op:property fmtid="{D5CDD505-2E9C-101B-9397-08002B2CF9AE}" pid="34" name="MSIP_Label_42e67a54-274b-43d7-8098-b3ba5f50e576_SetDate">
    <vt:lpwstr>2023-08-17T18:34:04Z</vt:lpwstr>
  </op:property>
  <op:property fmtid="{D5CDD505-2E9C-101B-9397-08002B2CF9AE}" pid="35" name="MSIP_Label_42e67a54-274b-43d7-8098-b3ba5f50e576_Method">
    <vt:lpwstr>Standard</vt:lpwstr>
  </op:property>
  <op:property fmtid="{D5CDD505-2E9C-101B-9397-08002B2CF9AE}" pid="36" name="MSIP_Label_42e67a54-274b-43d7-8098-b3ba5f50e576_Name">
    <vt:lpwstr>42e67a54-274b-43d7-8098-b3ba5f50e576</vt:lpwstr>
  </op:property>
  <op:property fmtid="{D5CDD505-2E9C-101B-9397-08002B2CF9AE}" pid="37" name="MSIP_Label_42e67a54-274b-43d7-8098-b3ba5f50e576_SiteId">
    <vt:lpwstr>7f0b44d2-04f8-4672-bf5d-4676796468a3</vt:lpwstr>
  </op:property>
  <op:property fmtid="{D5CDD505-2E9C-101B-9397-08002B2CF9AE}" pid="38" name="MSIP_Label_42e67a54-274b-43d7-8098-b3ba5f50e576_ActionId">
    <vt:lpwstr>6a02005c-af1c-44fa-b187-03aa7d41b237</vt:lpwstr>
  </op:property>
  <op:property fmtid="{D5CDD505-2E9C-101B-9397-08002B2CF9AE}" pid="39" name="MSIP_Label_42e67a54-274b-43d7-8098-b3ba5f50e576_ContentBits">
    <vt:lpwstr>0</vt:lpwstr>
  </op:property>
  <op:property fmtid="{D5CDD505-2E9C-101B-9397-08002B2CF9AE}" pid="40" name="Client">
    <vt:lpwstr>PERSONAL</vt:lpwstr>
  </op:property>
  <op:property fmtid="{D5CDD505-2E9C-101B-9397-08002B2CF9AE}" pid="41" name="Matter">
    <vt:lpwstr>CECHJ</vt:lpwstr>
  </op:property>
  <op:property fmtid="{D5CDD505-2E9C-101B-9397-08002B2CF9AE}" pid="42" name="cpDocRef">
    <vt:lpwstr>EUP1: 2019237661.1</vt:lpwstr>
  </op:property>
  <op:property fmtid="{D5CDD505-2E9C-101B-9397-08002B2CF9AE}" pid="43" name="cpClientMatter">
    <vt:lpwstr>PERSONAL-CECHJ</vt:lpwstr>
  </op:property>
  <op:property fmtid="{D5CDD505-2E9C-101B-9397-08002B2CF9AE}" pid="44" name="cpCombinedRef">
    <vt:lpwstr>PERSONAL-CECHJ EUP1: 2019237661.1</vt:lpwstr>
  </op:property>
  <op:property fmtid="{D5CDD505-2E9C-101B-9397-08002B2CF9AE}" pid="45" name="SD_TIM_Ran">
    <vt:lpwstr>True</vt:lpwstr>
  </op:property>
</op:Properties>
</file>